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7A" w:rsidRDefault="0039707A" w:rsidP="00BF608B">
      <w:pPr>
        <w:spacing w:after="0" w:line="240" w:lineRule="auto"/>
      </w:pPr>
    </w:p>
    <w:p w:rsidR="0039707A" w:rsidRPr="0039707A" w:rsidRDefault="0039707A" w:rsidP="00BF608B">
      <w:pPr>
        <w:spacing w:after="0" w:line="240" w:lineRule="auto"/>
      </w:pPr>
    </w:p>
    <w:p w:rsidR="00B03DC5" w:rsidRDefault="00B03DC5" w:rsidP="00BF608B">
      <w:pPr>
        <w:pStyle w:val="Title"/>
        <w:spacing w:after="0"/>
        <w:rPr>
          <w:rFonts w:asciiTheme="minorHAnsi" w:hAnsiTheme="minorHAnsi" w:cstheme="minorHAnsi"/>
          <w:b/>
          <w:color w:val="auto"/>
          <w:sz w:val="24"/>
          <w:szCs w:val="24"/>
        </w:rPr>
      </w:pPr>
    </w:p>
    <w:p w:rsidR="008749A3" w:rsidRPr="00076700" w:rsidRDefault="008749A3"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COURSE INFORMATION</w:t>
      </w:r>
    </w:p>
    <w:p w:rsidR="008749A3" w:rsidRPr="00076700" w:rsidRDefault="008749A3" w:rsidP="00225F28">
      <w:pPr>
        <w:spacing w:before="120" w:after="0" w:line="240" w:lineRule="auto"/>
        <w:contextualSpacing/>
        <w:rPr>
          <w:rFonts w:cstheme="minorHAnsi"/>
          <w:b/>
          <w:sz w:val="24"/>
          <w:szCs w:val="24"/>
        </w:rPr>
      </w:pPr>
      <w:r w:rsidRPr="00076700">
        <w:rPr>
          <w:rFonts w:cstheme="minorHAnsi"/>
          <w:b/>
          <w:sz w:val="24"/>
          <w:szCs w:val="24"/>
        </w:rPr>
        <w:t xml:space="preserve">Course Number: </w:t>
      </w:r>
      <w:r w:rsidR="00E02EB3" w:rsidRPr="004E3987">
        <w:t>MGT 845 01</w:t>
      </w:r>
      <w:r w:rsidRPr="00076700">
        <w:rPr>
          <w:rFonts w:cstheme="minorHAnsi"/>
          <w:b/>
          <w:sz w:val="24"/>
          <w:szCs w:val="24"/>
        </w:rPr>
        <w:tab/>
      </w:r>
      <w:r w:rsidRPr="00076700">
        <w:rPr>
          <w:rFonts w:cstheme="minorHAnsi"/>
          <w:b/>
          <w:sz w:val="24"/>
          <w:szCs w:val="24"/>
        </w:rPr>
        <w:tab/>
      </w:r>
    </w:p>
    <w:p w:rsidR="008749A3" w:rsidRPr="00076700" w:rsidRDefault="008749A3" w:rsidP="00BF608B">
      <w:pPr>
        <w:spacing w:after="0" w:line="240" w:lineRule="auto"/>
        <w:contextualSpacing/>
        <w:rPr>
          <w:rFonts w:cstheme="minorHAnsi"/>
          <w:b/>
          <w:sz w:val="24"/>
          <w:szCs w:val="24"/>
        </w:rPr>
      </w:pPr>
      <w:r w:rsidRPr="00076700">
        <w:rPr>
          <w:rFonts w:cstheme="minorHAnsi"/>
          <w:b/>
          <w:sz w:val="24"/>
          <w:szCs w:val="24"/>
        </w:rPr>
        <w:t>Course Title</w:t>
      </w:r>
      <w:r w:rsidR="004A51F1" w:rsidRPr="00076700">
        <w:rPr>
          <w:rFonts w:cstheme="minorHAnsi"/>
          <w:b/>
          <w:sz w:val="24"/>
          <w:szCs w:val="24"/>
        </w:rPr>
        <w:t xml:space="preserve">: </w:t>
      </w:r>
      <w:r w:rsidR="00E02EB3" w:rsidRPr="004E3987">
        <w:t>Portfolio Management in Practice</w:t>
      </w:r>
      <w:r w:rsidRPr="00076700">
        <w:rPr>
          <w:rFonts w:cstheme="minorHAnsi"/>
          <w:b/>
          <w:sz w:val="24"/>
          <w:szCs w:val="24"/>
        </w:rPr>
        <w:tab/>
      </w:r>
      <w:r w:rsidRPr="00076700">
        <w:rPr>
          <w:rFonts w:cstheme="minorHAnsi"/>
          <w:b/>
          <w:sz w:val="24"/>
          <w:szCs w:val="24"/>
        </w:rPr>
        <w:tab/>
      </w:r>
    </w:p>
    <w:p w:rsidR="004A51F1" w:rsidRPr="00076700" w:rsidRDefault="004A51F1" w:rsidP="00BF608B">
      <w:pPr>
        <w:spacing w:after="0" w:line="240" w:lineRule="auto"/>
        <w:contextualSpacing/>
        <w:rPr>
          <w:rFonts w:cstheme="minorHAnsi"/>
          <w:b/>
          <w:sz w:val="24"/>
          <w:szCs w:val="24"/>
        </w:rPr>
      </w:pPr>
      <w:r w:rsidRPr="00076700">
        <w:rPr>
          <w:rFonts w:cstheme="minorHAnsi"/>
          <w:b/>
          <w:sz w:val="24"/>
          <w:szCs w:val="24"/>
        </w:rPr>
        <w:t xml:space="preserve">Term and Year: </w:t>
      </w:r>
      <w:r w:rsidR="00E02EB3">
        <w:t>Fall 2017</w:t>
      </w:r>
      <w:r w:rsidRPr="00076700">
        <w:rPr>
          <w:rFonts w:cstheme="minorHAnsi"/>
          <w:b/>
          <w:sz w:val="24"/>
          <w:szCs w:val="24"/>
        </w:rPr>
        <w:tab/>
      </w:r>
      <w:r w:rsidRPr="00076700">
        <w:rPr>
          <w:rFonts w:cstheme="minorHAnsi"/>
          <w:b/>
          <w:sz w:val="24"/>
          <w:szCs w:val="24"/>
        </w:rPr>
        <w:tab/>
      </w:r>
    </w:p>
    <w:p w:rsidR="001A40D5" w:rsidRPr="00B0224C" w:rsidRDefault="004A51F1" w:rsidP="00BF608B">
      <w:pPr>
        <w:spacing w:after="0" w:line="240" w:lineRule="auto"/>
        <w:contextualSpacing/>
        <w:rPr>
          <w:rFonts w:cstheme="minorHAnsi"/>
          <w:color w:val="C00000"/>
          <w:sz w:val="24"/>
          <w:szCs w:val="24"/>
        </w:rPr>
      </w:pPr>
      <w:r w:rsidRPr="00076700">
        <w:rPr>
          <w:rFonts w:cstheme="minorHAnsi"/>
          <w:b/>
          <w:sz w:val="24"/>
          <w:szCs w:val="24"/>
        </w:rPr>
        <w:t xml:space="preserve">Class Meeting Time, Day: </w:t>
      </w:r>
      <w:r w:rsidR="00E02EB3">
        <w:t>Tuesdays and Thursdays</w:t>
      </w:r>
      <w:r w:rsidR="00E02EB3" w:rsidRPr="004E3987">
        <w:t>, 2:40 p.m. - 4:00 p.m.</w:t>
      </w:r>
      <w:r w:rsidR="00E02EB3">
        <w:t xml:space="preserve">, </w:t>
      </w:r>
      <w:r w:rsidR="00E02EB3" w:rsidRPr="004E3987">
        <w:t xml:space="preserve">Classroom </w:t>
      </w:r>
      <w:r w:rsidR="00E02EB3">
        <w:t>4210</w:t>
      </w:r>
    </w:p>
    <w:p w:rsidR="00E02EB3" w:rsidRDefault="00E02EB3" w:rsidP="00E66F13">
      <w:pPr>
        <w:pStyle w:val="Title"/>
        <w:pBdr>
          <w:bottom w:val="single" w:sz="8" w:space="0" w:color="4F81BD" w:themeColor="accent1"/>
        </w:pBdr>
        <w:spacing w:after="0"/>
        <w:rPr>
          <w:rFonts w:asciiTheme="minorHAnsi" w:hAnsiTheme="minorHAnsi" w:cstheme="minorHAnsi"/>
          <w:b/>
          <w:color w:val="auto"/>
          <w:sz w:val="24"/>
          <w:szCs w:val="24"/>
        </w:rPr>
      </w:pPr>
    </w:p>
    <w:p w:rsidR="008749A3" w:rsidRPr="00076700" w:rsidRDefault="004A51F1" w:rsidP="00E66F13">
      <w:pPr>
        <w:pStyle w:val="Title"/>
        <w:pBdr>
          <w:bottom w:val="single" w:sz="8" w:space="0" w:color="4F81BD" w:themeColor="accent1"/>
        </w:pBdr>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CONTACT</w:t>
      </w:r>
      <w:r w:rsidR="008749A3" w:rsidRPr="00076700">
        <w:rPr>
          <w:rFonts w:asciiTheme="minorHAnsi" w:hAnsiTheme="minorHAnsi" w:cstheme="minorHAnsi"/>
          <w:b/>
          <w:color w:val="auto"/>
          <w:sz w:val="24"/>
          <w:szCs w:val="24"/>
        </w:rPr>
        <w:t xml:space="preserve"> INFORMATION </w:t>
      </w:r>
    </w:p>
    <w:p w:rsidR="004A51F1" w:rsidRPr="00076700" w:rsidRDefault="004A51F1" w:rsidP="00BF608B">
      <w:pPr>
        <w:spacing w:after="0" w:line="240" w:lineRule="auto"/>
        <w:contextualSpacing/>
        <w:rPr>
          <w:rFonts w:cstheme="minorHAnsi"/>
          <w:sz w:val="24"/>
          <w:szCs w:val="24"/>
        </w:rPr>
      </w:pPr>
    </w:p>
    <w:tbl>
      <w:tblPr>
        <w:tblStyle w:val="TableGrid"/>
        <w:tblW w:w="1025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5210"/>
        <w:gridCol w:w="5040"/>
      </w:tblGrid>
      <w:tr w:rsidR="00076700" w:rsidRPr="00076700" w:rsidTr="001A40D5">
        <w:tc>
          <w:tcPr>
            <w:tcW w:w="5210" w:type="dxa"/>
          </w:tcPr>
          <w:p w:rsidR="001A40D5" w:rsidRPr="00076700" w:rsidRDefault="001A40D5" w:rsidP="00BF608B">
            <w:pPr>
              <w:contextualSpacing/>
              <w:jc w:val="center"/>
              <w:rPr>
                <w:rFonts w:cstheme="minorHAnsi"/>
                <w:b/>
                <w:sz w:val="24"/>
                <w:szCs w:val="24"/>
              </w:rPr>
            </w:pPr>
            <w:r w:rsidRPr="00076700">
              <w:rPr>
                <w:rFonts w:cstheme="minorHAnsi"/>
                <w:b/>
                <w:sz w:val="24"/>
                <w:szCs w:val="24"/>
              </w:rPr>
              <w:t>Professor</w:t>
            </w:r>
            <w:r w:rsidR="00981B66" w:rsidRPr="00076700">
              <w:rPr>
                <w:rFonts w:cstheme="minorHAnsi"/>
                <w:b/>
                <w:sz w:val="24"/>
                <w:szCs w:val="24"/>
              </w:rPr>
              <w:t>(s)</w:t>
            </w:r>
          </w:p>
        </w:tc>
        <w:tc>
          <w:tcPr>
            <w:tcW w:w="5040" w:type="dxa"/>
          </w:tcPr>
          <w:p w:rsidR="001A40D5" w:rsidRPr="00076700" w:rsidRDefault="001A40D5" w:rsidP="00BF608B">
            <w:pPr>
              <w:contextualSpacing/>
              <w:jc w:val="center"/>
              <w:rPr>
                <w:rFonts w:cstheme="minorHAnsi"/>
                <w:b/>
                <w:sz w:val="24"/>
                <w:szCs w:val="24"/>
              </w:rPr>
            </w:pPr>
            <w:r w:rsidRPr="00076700">
              <w:rPr>
                <w:rFonts w:cstheme="minorHAnsi"/>
                <w:b/>
                <w:sz w:val="24"/>
                <w:szCs w:val="24"/>
              </w:rPr>
              <w:t>TA</w:t>
            </w:r>
            <w:r w:rsidR="00981B66" w:rsidRPr="00076700">
              <w:rPr>
                <w:rFonts w:cstheme="minorHAnsi"/>
                <w:b/>
                <w:sz w:val="24"/>
                <w:szCs w:val="24"/>
              </w:rPr>
              <w:t>(</w:t>
            </w:r>
            <w:r w:rsidR="00642E44" w:rsidRPr="00076700">
              <w:rPr>
                <w:rFonts w:cstheme="minorHAnsi"/>
                <w:b/>
                <w:sz w:val="24"/>
                <w:szCs w:val="24"/>
              </w:rPr>
              <w:t>s</w:t>
            </w:r>
            <w:r w:rsidR="00981B66" w:rsidRPr="00076700">
              <w:rPr>
                <w:rFonts w:cstheme="minorHAnsi"/>
                <w:b/>
                <w:sz w:val="24"/>
                <w:szCs w:val="24"/>
              </w:rPr>
              <w:t>)</w:t>
            </w:r>
          </w:p>
        </w:tc>
      </w:tr>
      <w:tr w:rsidR="00076700" w:rsidRPr="00076700" w:rsidTr="001A40D5">
        <w:tc>
          <w:tcPr>
            <w:tcW w:w="5210" w:type="dxa"/>
          </w:tcPr>
          <w:p w:rsidR="00E02EB3" w:rsidRDefault="00E02EB3" w:rsidP="00E02EB3">
            <w:pPr>
              <w:pStyle w:val="NoSpacing"/>
              <w:rPr>
                <w:rStyle w:val="Hyperlink"/>
                <w:u w:val="none"/>
              </w:rPr>
            </w:pPr>
            <w:r w:rsidRPr="00123689">
              <w:rPr>
                <w:b/>
              </w:rPr>
              <w:t>Name:</w:t>
            </w:r>
            <w:r w:rsidRPr="004E3987">
              <w:t xml:space="preserve"> William Goetzmann </w:t>
            </w:r>
            <w:r w:rsidRPr="004E3987">
              <w:br/>
            </w:r>
            <w:r w:rsidRPr="00123689">
              <w:rPr>
                <w:b/>
              </w:rPr>
              <w:t>Office Location:</w:t>
            </w:r>
            <w:r w:rsidRPr="004E3987">
              <w:t xml:space="preserve"> 4536</w:t>
            </w:r>
            <w:r w:rsidRPr="004E3987">
              <w:br/>
            </w:r>
            <w:r w:rsidRPr="00123689">
              <w:rPr>
                <w:b/>
              </w:rPr>
              <w:t>Telephone Number:</w:t>
            </w:r>
            <w:r w:rsidRPr="004E3987">
              <w:t xml:space="preserve"> 203-432-5950</w:t>
            </w:r>
            <w:r w:rsidRPr="004E3987">
              <w:br/>
            </w:r>
            <w:r w:rsidRPr="00123689">
              <w:rPr>
                <w:b/>
              </w:rPr>
              <w:t>Email Address:</w:t>
            </w:r>
            <w:r w:rsidRPr="004E3987">
              <w:t> </w:t>
            </w:r>
            <w:hyperlink r:id="rId8" w:tgtFrame="_parent" w:history="1">
              <w:r w:rsidRPr="004E3987">
                <w:rPr>
                  <w:color w:val="0000FF"/>
                  <w:u w:val="single"/>
                </w:rPr>
                <w:t>william.goetzmann@yale.edu</w:t>
              </w:r>
            </w:hyperlink>
            <w:r w:rsidRPr="004E3987">
              <w:br/>
            </w:r>
            <w:r w:rsidRPr="00123689">
              <w:rPr>
                <w:b/>
              </w:rPr>
              <w:t>Office Hours:</w:t>
            </w:r>
            <w:r w:rsidRPr="004E3987">
              <w:t xml:space="preserve"> by appointment only, please </w:t>
            </w:r>
            <w:r>
              <w:t>e</w:t>
            </w:r>
            <w:r w:rsidRPr="004E3987">
              <w:t xml:space="preserve">-mail: </w:t>
            </w:r>
            <w:hyperlink r:id="rId9" w:history="1">
              <w:r w:rsidRPr="00273530">
                <w:rPr>
                  <w:rStyle w:val="Hyperlink"/>
                </w:rPr>
                <w:t>electra.ferriello@yale.edu</w:t>
              </w:r>
            </w:hyperlink>
          </w:p>
          <w:p w:rsidR="00E02EB3" w:rsidRDefault="00E02EB3" w:rsidP="00E02EB3">
            <w:pPr>
              <w:pStyle w:val="NoSpacing"/>
            </w:pPr>
          </w:p>
          <w:p w:rsidR="00E02EB3" w:rsidRDefault="00E02EB3" w:rsidP="00E02EB3">
            <w:pPr>
              <w:pStyle w:val="NoSpacing"/>
            </w:pPr>
            <w:r w:rsidRPr="0098598E">
              <w:rPr>
                <w:b/>
              </w:rPr>
              <w:t>Co-instructor</w:t>
            </w:r>
            <w:r>
              <w:t xml:space="preserve">: </w:t>
            </w:r>
            <w:r w:rsidRPr="004E3987">
              <w:t>Osman Nalbantoglu</w:t>
            </w:r>
            <w:r>
              <w:t xml:space="preserve">, </w:t>
            </w:r>
            <w:r w:rsidR="00780272">
              <w:t xml:space="preserve">Ph.D., </w:t>
            </w:r>
            <w:r>
              <w:t>Bridgewater</w:t>
            </w:r>
          </w:p>
          <w:p w:rsidR="001A40D5" w:rsidRDefault="001A40D5" w:rsidP="00E02EB3">
            <w:pPr>
              <w:pStyle w:val="NoSpacing"/>
            </w:pPr>
          </w:p>
          <w:p w:rsidR="006B6DD8" w:rsidRDefault="006B6DD8" w:rsidP="006B6DD8">
            <w:pPr>
              <w:rPr>
                <w:rFonts w:eastAsia="Times New Roman"/>
              </w:rPr>
            </w:pPr>
            <w:r>
              <w:rPr>
                <w:rFonts w:eastAsia="Times New Roman"/>
              </w:rPr>
              <w:t xml:space="preserve">Osman Nalbantoglu serves on the Management Committee of Bridgewater Associates where he is responsible for portfolio implementation and trading.  Before Bridgewater, he was a partner at McKinsey and Associates in the New York Office, where he last was the co-head of the Wholesale Banking Practice.   </w:t>
            </w:r>
          </w:p>
          <w:p w:rsidR="006B6DD8" w:rsidRDefault="006B6DD8" w:rsidP="006B6DD8">
            <w:pPr>
              <w:rPr>
                <w:rFonts w:eastAsia="Times New Roman"/>
              </w:rPr>
            </w:pPr>
          </w:p>
          <w:p w:rsidR="006B6DD8" w:rsidRPr="006B6DD8" w:rsidRDefault="006B6DD8" w:rsidP="006B6DD8">
            <w:pPr>
              <w:rPr>
                <w:rFonts w:eastAsia="Times New Roman"/>
              </w:rPr>
            </w:pPr>
            <w:r>
              <w:rPr>
                <w:rFonts w:eastAsia="Times New Roman"/>
              </w:rPr>
              <w:t>Osman holds a Ph.D. in Business Economics (Finance) from Harvard University and a B.A. in Economics and Mathematics from Yale University.</w:t>
            </w:r>
          </w:p>
        </w:tc>
        <w:tc>
          <w:tcPr>
            <w:tcW w:w="5040" w:type="dxa"/>
          </w:tcPr>
          <w:p w:rsidR="001A40D5" w:rsidRPr="00E02EB3" w:rsidRDefault="001A40D5" w:rsidP="00BF608B">
            <w:pPr>
              <w:contextualSpacing/>
              <w:rPr>
                <w:rFonts w:cstheme="minorHAnsi"/>
                <w:sz w:val="24"/>
                <w:szCs w:val="24"/>
              </w:rPr>
            </w:pPr>
            <w:r w:rsidRPr="00076700">
              <w:rPr>
                <w:rFonts w:cstheme="minorHAnsi"/>
                <w:b/>
                <w:sz w:val="24"/>
                <w:szCs w:val="24"/>
              </w:rPr>
              <w:t>Name:</w:t>
            </w:r>
            <w:r w:rsidR="00E02EB3">
              <w:rPr>
                <w:rFonts w:cstheme="minorHAnsi"/>
                <w:b/>
                <w:sz w:val="24"/>
                <w:szCs w:val="24"/>
              </w:rPr>
              <w:t xml:space="preserve"> </w:t>
            </w:r>
            <w:r w:rsidR="00E02EB3">
              <w:rPr>
                <w:rFonts w:cstheme="minorHAnsi"/>
                <w:sz w:val="24"/>
                <w:szCs w:val="24"/>
              </w:rPr>
              <w:t>Steven Fortney</w:t>
            </w:r>
          </w:p>
          <w:p w:rsidR="001A40D5" w:rsidRDefault="001A40D5" w:rsidP="00E02EB3">
            <w:pPr>
              <w:contextualSpacing/>
              <w:rPr>
                <w:rStyle w:val="Hyperlink"/>
                <w:rFonts w:cstheme="minorHAnsi"/>
                <w:sz w:val="24"/>
                <w:szCs w:val="24"/>
              </w:rPr>
            </w:pPr>
            <w:r w:rsidRPr="00076700">
              <w:rPr>
                <w:rFonts w:cstheme="minorHAnsi"/>
                <w:b/>
                <w:sz w:val="24"/>
                <w:szCs w:val="24"/>
              </w:rPr>
              <w:t>E</w:t>
            </w:r>
            <w:r w:rsidRPr="00076700">
              <w:rPr>
                <w:rFonts w:cstheme="minorHAnsi"/>
                <w:b/>
                <w:sz w:val="24"/>
                <w:szCs w:val="24"/>
              </w:rPr>
              <w:noBreakHyphen/>
              <w:t>mail Address:</w:t>
            </w:r>
            <w:r w:rsidR="00E02EB3">
              <w:rPr>
                <w:rFonts w:cstheme="minorHAnsi"/>
                <w:b/>
                <w:sz w:val="24"/>
                <w:szCs w:val="24"/>
              </w:rPr>
              <w:t xml:space="preserve"> </w:t>
            </w:r>
            <w:hyperlink r:id="rId10" w:history="1">
              <w:r w:rsidR="00E02EB3" w:rsidRPr="00E02EB3">
                <w:rPr>
                  <w:rStyle w:val="Hyperlink"/>
                  <w:rFonts w:cstheme="minorHAnsi"/>
                  <w:sz w:val="24"/>
                  <w:szCs w:val="24"/>
                </w:rPr>
                <w:t>steven.fortney@yale.edu</w:t>
              </w:r>
            </w:hyperlink>
          </w:p>
          <w:p w:rsidR="00E318EF" w:rsidRDefault="00E318EF" w:rsidP="00E02EB3">
            <w:pPr>
              <w:contextualSpacing/>
              <w:rPr>
                <w:rStyle w:val="Hyperlink"/>
                <w:rFonts w:cstheme="minorHAnsi"/>
                <w:sz w:val="24"/>
                <w:szCs w:val="24"/>
              </w:rPr>
            </w:pPr>
          </w:p>
          <w:p w:rsidR="00E318EF" w:rsidRPr="00E02EB3" w:rsidRDefault="00E318EF" w:rsidP="00E318EF">
            <w:pPr>
              <w:contextualSpacing/>
              <w:rPr>
                <w:rFonts w:cstheme="minorHAnsi"/>
                <w:sz w:val="24"/>
                <w:szCs w:val="24"/>
              </w:rPr>
            </w:pPr>
            <w:r w:rsidRPr="00076700">
              <w:rPr>
                <w:rFonts w:cstheme="minorHAnsi"/>
                <w:b/>
                <w:sz w:val="24"/>
                <w:szCs w:val="24"/>
              </w:rPr>
              <w:t>Name:</w:t>
            </w:r>
            <w:r>
              <w:rPr>
                <w:rFonts w:cstheme="minorHAnsi"/>
                <w:b/>
                <w:sz w:val="24"/>
                <w:szCs w:val="24"/>
              </w:rPr>
              <w:t xml:space="preserve"> </w:t>
            </w:r>
            <w:r>
              <w:rPr>
                <w:rFonts w:cstheme="minorHAnsi"/>
                <w:sz w:val="24"/>
                <w:szCs w:val="24"/>
              </w:rPr>
              <w:t xml:space="preserve">Emin </w:t>
            </w:r>
            <w:proofErr w:type="spellStart"/>
            <w:r>
              <w:rPr>
                <w:rFonts w:cstheme="minorHAnsi"/>
                <w:sz w:val="24"/>
                <w:szCs w:val="24"/>
              </w:rPr>
              <w:t>Dokumaci</w:t>
            </w:r>
            <w:proofErr w:type="spellEnd"/>
          </w:p>
          <w:p w:rsidR="00E318EF" w:rsidRDefault="00E318EF" w:rsidP="00E318EF">
            <w:pPr>
              <w:contextualSpacing/>
              <w:rPr>
                <w:rFonts w:cstheme="minorHAnsi"/>
                <w:sz w:val="24"/>
                <w:szCs w:val="24"/>
              </w:rPr>
            </w:pPr>
            <w:r w:rsidRPr="00076700">
              <w:rPr>
                <w:rFonts w:cstheme="minorHAnsi"/>
                <w:b/>
                <w:sz w:val="24"/>
                <w:szCs w:val="24"/>
              </w:rPr>
              <w:t>E</w:t>
            </w:r>
            <w:r w:rsidRPr="00076700">
              <w:rPr>
                <w:rFonts w:cstheme="minorHAnsi"/>
                <w:b/>
                <w:sz w:val="24"/>
                <w:szCs w:val="24"/>
              </w:rPr>
              <w:noBreakHyphen/>
              <w:t>mail Address:</w:t>
            </w:r>
            <w:r>
              <w:rPr>
                <w:rFonts w:cstheme="minorHAnsi"/>
                <w:b/>
                <w:sz w:val="24"/>
                <w:szCs w:val="24"/>
              </w:rPr>
              <w:t xml:space="preserve"> </w:t>
            </w:r>
            <w:hyperlink r:id="rId11" w:history="1">
              <w:r w:rsidRPr="00C86B17">
                <w:rPr>
                  <w:rStyle w:val="Hyperlink"/>
                  <w:rFonts w:cstheme="minorHAnsi"/>
                  <w:sz w:val="24"/>
                  <w:szCs w:val="24"/>
                </w:rPr>
                <w:t>emin.dokumaci@yale.edu</w:t>
              </w:r>
            </w:hyperlink>
          </w:p>
          <w:p w:rsidR="00E318EF" w:rsidRPr="00E318EF" w:rsidRDefault="00E318EF" w:rsidP="00E318EF">
            <w:pPr>
              <w:contextualSpacing/>
              <w:rPr>
                <w:rFonts w:cstheme="minorHAnsi"/>
                <w:sz w:val="24"/>
                <w:szCs w:val="24"/>
              </w:rPr>
            </w:pPr>
          </w:p>
        </w:tc>
      </w:tr>
      <w:tr w:rsidR="00076700" w:rsidRPr="00076700" w:rsidTr="00D978D8">
        <w:tc>
          <w:tcPr>
            <w:tcW w:w="10250" w:type="dxa"/>
            <w:gridSpan w:val="2"/>
          </w:tcPr>
          <w:p w:rsidR="00076700" w:rsidRPr="00076700" w:rsidRDefault="001A40D5" w:rsidP="00BF608B">
            <w:pPr>
              <w:contextualSpacing/>
              <w:rPr>
                <w:rFonts w:cstheme="minorHAnsi"/>
                <w:b/>
                <w:sz w:val="24"/>
                <w:szCs w:val="24"/>
              </w:rPr>
            </w:pPr>
            <w:r w:rsidRPr="00076700">
              <w:rPr>
                <w:rFonts w:cstheme="minorHAnsi"/>
                <w:b/>
                <w:sz w:val="24"/>
                <w:szCs w:val="24"/>
              </w:rPr>
              <w:t>Review Sessions:</w:t>
            </w:r>
            <w:r w:rsidR="00076700" w:rsidRPr="00076700">
              <w:rPr>
                <w:rFonts w:cstheme="minorHAnsi"/>
                <w:b/>
                <w:sz w:val="24"/>
                <w:szCs w:val="24"/>
              </w:rPr>
              <w:t xml:space="preserve"> </w:t>
            </w:r>
            <w:r w:rsidR="00E02EB3" w:rsidRPr="004E3987">
              <w:t>As needed</w:t>
            </w:r>
          </w:p>
        </w:tc>
      </w:tr>
    </w:tbl>
    <w:p w:rsidR="00AC0AF9" w:rsidRPr="00076700" w:rsidRDefault="00AC0AF9" w:rsidP="00BF608B">
      <w:pPr>
        <w:pStyle w:val="Title"/>
        <w:spacing w:after="0"/>
        <w:rPr>
          <w:rFonts w:asciiTheme="minorHAnsi" w:hAnsiTheme="minorHAnsi" w:cstheme="minorHAnsi"/>
          <w:b/>
          <w:color w:val="auto"/>
          <w:sz w:val="24"/>
          <w:szCs w:val="24"/>
        </w:rPr>
      </w:pPr>
    </w:p>
    <w:p w:rsidR="008749A3" w:rsidRPr="00076700" w:rsidRDefault="00B03DC5" w:rsidP="00BF608B">
      <w:pPr>
        <w:pStyle w:val="Title"/>
        <w:spacing w:after="0"/>
        <w:rPr>
          <w:rFonts w:asciiTheme="minorHAnsi" w:hAnsiTheme="minorHAnsi" w:cstheme="minorHAnsi"/>
          <w:b/>
          <w:color w:val="auto"/>
          <w:sz w:val="24"/>
          <w:szCs w:val="24"/>
        </w:rPr>
      </w:pPr>
      <w:r>
        <w:rPr>
          <w:rFonts w:asciiTheme="minorHAnsi" w:hAnsiTheme="minorHAnsi" w:cstheme="minorHAnsi"/>
          <w:b/>
          <w:color w:val="auto"/>
          <w:sz w:val="24"/>
          <w:szCs w:val="24"/>
        </w:rPr>
        <w:t>COURSE MATERIALS</w:t>
      </w:r>
    </w:p>
    <w:p w:rsidR="00E02EB3" w:rsidRDefault="00FA5765" w:rsidP="00E02EB3">
      <w:pPr>
        <w:spacing w:before="120" w:after="0" w:line="240" w:lineRule="auto"/>
        <w:ind w:left="2880" w:hanging="2880"/>
        <w:contextualSpacing/>
        <w:rPr>
          <w:color w:val="000000"/>
        </w:rPr>
      </w:pPr>
      <w:r w:rsidRPr="00076700">
        <w:rPr>
          <w:rFonts w:cstheme="minorHAnsi"/>
          <w:b/>
          <w:sz w:val="24"/>
          <w:szCs w:val="24"/>
        </w:rPr>
        <w:t>Textbook</w:t>
      </w:r>
      <w:r w:rsidR="00B0224C">
        <w:rPr>
          <w:rFonts w:cstheme="minorHAnsi"/>
          <w:b/>
          <w:sz w:val="24"/>
          <w:szCs w:val="24"/>
        </w:rPr>
        <w:t>(s):</w:t>
      </w:r>
      <w:r w:rsidR="008749A3" w:rsidRPr="00B0224C">
        <w:rPr>
          <w:rFonts w:cstheme="minorHAnsi"/>
          <w:color w:val="C00000"/>
          <w:sz w:val="24"/>
          <w:szCs w:val="24"/>
        </w:rPr>
        <w:t xml:space="preserve"> </w:t>
      </w:r>
      <w:r w:rsidR="00E02EB3" w:rsidRPr="004E3987">
        <w:rPr>
          <w:color w:val="000000"/>
        </w:rPr>
        <w:t>Ang, Andrew. Asset Management: A Systematic Approach to Fact</w:t>
      </w:r>
      <w:r w:rsidR="00E02EB3">
        <w:rPr>
          <w:color w:val="000000"/>
        </w:rPr>
        <w:t>or Investing. Oxford University</w:t>
      </w:r>
    </w:p>
    <w:p w:rsidR="00E02EB3" w:rsidRDefault="00E02EB3" w:rsidP="00E02EB3">
      <w:pPr>
        <w:spacing w:before="120" w:after="0" w:line="240" w:lineRule="auto"/>
        <w:ind w:left="2880" w:hanging="2880"/>
        <w:contextualSpacing/>
        <w:rPr>
          <w:color w:val="000000"/>
        </w:rPr>
      </w:pPr>
      <w:r>
        <w:rPr>
          <w:rFonts w:cstheme="minorHAnsi"/>
          <w:b/>
          <w:sz w:val="24"/>
          <w:szCs w:val="24"/>
        </w:rPr>
        <w:t xml:space="preserve">                       </w:t>
      </w:r>
      <w:r w:rsidRPr="004E3987">
        <w:rPr>
          <w:color w:val="000000"/>
        </w:rPr>
        <w:t xml:space="preserve">Press, 2014. </w:t>
      </w:r>
      <w:r>
        <w:rPr>
          <w:color w:val="000000"/>
        </w:rPr>
        <w:t xml:space="preserve"> </w:t>
      </w:r>
      <w:r w:rsidRPr="00E02EB3">
        <w:rPr>
          <w:b/>
        </w:rPr>
        <w:t>ISBN:</w:t>
      </w:r>
      <w:r>
        <w:t xml:space="preserve"> 9780199959327</w:t>
      </w:r>
    </w:p>
    <w:p w:rsidR="00B0224C" w:rsidRPr="00076700" w:rsidRDefault="00B0224C" w:rsidP="00E02EB3">
      <w:pPr>
        <w:spacing w:before="120" w:after="0" w:line="240" w:lineRule="auto"/>
        <w:ind w:left="2880" w:hanging="2880"/>
        <w:contextualSpacing/>
        <w:rPr>
          <w:rFonts w:cstheme="minorHAnsi"/>
          <w:b/>
          <w:i/>
          <w:sz w:val="24"/>
          <w:szCs w:val="24"/>
        </w:rPr>
      </w:pPr>
      <w:r w:rsidRPr="00076700">
        <w:rPr>
          <w:rFonts w:cstheme="minorHAnsi"/>
          <w:b/>
          <w:sz w:val="24"/>
          <w:szCs w:val="24"/>
        </w:rPr>
        <w:t>Readings:</w:t>
      </w:r>
      <w:r>
        <w:rPr>
          <w:rFonts w:cstheme="minorHAnsi"/>
          <w:b/>
          <w:sz w:val="24"/>
          <w:szCs w:val="24"/>
        </w:rPr>
        <w:t xml:space="preserve"> </w:t>
      </w:r>
      <w:r w:rsidR="00F85967" w:rsidRPr="00E02EB3">
        <w:rPr>
          <w:rFonts w:cstheme="minorHAnsi"/>
          <w:sz w:val="24"/>
          <w:szCs w:val="24"/>
        </w:rPr>
        <w:t>See Detailed Outline of Class Sessions</w:t>
      </w:r>
    </w:p>
    <w:p w:rsidR="00B03DC5" w:rsidRPr="00076700" w:rsidRDefault="00B03DC5" w:rsidP="00B03DC5">
      <w:pPr>
        <w:spacing w:after="0" w:line="240" w:lineRule="auto"/>
        <w:contextualSpacing/>
        <w:rPr>
          <w:sz w:val="24"/>
          <w:szCs w:val="24"/>
        </w:rPr>
      </w:pPr>
      <w:r w:rsidRPr="00B03DC5">
        <w:rPr>
          <w:rFonts w:eastAsia="Times New Roman" w:cstheme="minorHAnsi"/>
          <w:b/>
          <w:sz w:val="24"/>
          <w:szCs w:val="24"/>
        </w:rPr>
        <w:t>Software</w:t>
      </w:r>
      <w:r w:rsidRPr="00B03DC5">
        <w:rPr>
          <w:rFonts w:cstheme="minorHAnsi"/>
          <w:b/>
        </w:rPr>
        <w:t xml:space="preserve">: </w:t>
      </w:r>
      <w:r w:rsidR="00E02EB3" w:rsidRPr="004E3987">
        <w:t>None</w:t>
      </w:r>
    </w:p>
    <w:p w:rsidR="008749A3" w:rsidRPr="00B03DC5" w:rsidRDefault="008749A3" w:rsidP="00BF608B">
      <w:pPr>
        <w:pStyle w:val="NormalWeb"/>
        <w:spacing w:before="0" w:beforeAutospacing="0" w:after="0" w:afterAutospacing="0"/>
        <w:contextualSpacing/>
        <w:rPr>
          <w:rFonts w:asciiTheme="minorHAnsi" w:hAnsiTheme="minorHAnsi" w:cstheme="minorHAnsi"/>
          <w:b/>
          <w:bCs/>
          <w:color w:val="auto"/>
        </w:rPr>
      </w:pPr>
      <w:r w:rsidRPr="00B03DC5">
        <w:rPr>
          <w:rFonts w:asciiTheme="minorHAnsi" w:hAnsiTheme="minorHAnsi" w:cstheme="minorHAnsi"/>
          <w:b/>
          <w:color w:val="auto"/>
        </w:rPr>
        <w:tab/>
      </w:r>
    </w:p>
    <w:p w:rsidR="008749A3" w:rsidRPr="00076700" w:rsidRDefault="008749A3"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 xml:space="preserve">COURSE </w:t>
      </w:r>
      <w:r w:rsidR="00D10F5C" w:rsidRPr="00076700">
        <w:rPr>
          <w:rFonts w:asciiTheme="minorHAnsi" w:hAnsiTheme="minorHAnsi" w:cstheme="minorHAnsi"/>
          <w:b/>
          <w:color w:val="auto"/>
          <w:sz w:val="24"/>
          <w:szCs w:val="24"/>
        </w:rPr>
        <w:t>DESCRIPTION AND OBJECTIVES</w:t>
      </w:r>
      <w:r w:rsidRPr="00076700">
        <w:rPr>
          <w:rFonts w:asciiTheme="minorHAnsi" w:hAnsiTheme="minorHAnsi" w:cstheme="minorHAnsi"/>
          <w:b/>
          <w:color w:val="auto"/>
          <w:sz w:val="24"/>
          <w:szCs w:val="24"/>
        </w:rPr>
        <w:t xml:space="preserve"> </w:t>
      </w:r>
    </w:p>
    <w:p w:rsidR="00E02EB3" w:rsidRPr="00E02EB3" w:rsidRDefault="00ED373C" w:rsidP="00E02EB3">
      <w:pPr>
        <w:pStyle w:val="NoSpacing"/>
        <w:rPr>
          <w:sz w:val="24"/>
          <w:szCs w:val="24"/>
        </w:rPr>
      </w:pPr>
      <w:r w:rsidRPr="00E02EB3">
        <w:rPr>
          <w:rFonts w:cstheme="minorHAnsi"/>
          <w:b/>
          <w:sz w:val="24"/>
          <w:szCs w:val="24"/>
        </w:rPr>
        <w:t xml:space="preserve">Course Description: </w:t>
      </w:r>
      <w:r w:rsidR="00E02EB3" w:rsidRPr="00E02EB3">
        <w:rPr>
          <w:sz w:val="24"/>
          <w:szCs w:val="24"/>
        </w:rPr>
        <w:t xml:space="preserve">Portfolio management demands a range of different perspectives.  This course is designed to apply the range of integrated SOM perspectives to the important problem of investing on behalf of clients.  These perspectives include the Investor, Employee, State and Society, Customer, Financing, Operations, Innovation and Macro economy.  Students learn by doing.  </w:t>
      </w:r>
      <w:r w:rsidR="00E02EB3" w:rsidRPr="00E02EB3">
        <w:rPr>
          <w:i/>
          <w:iCs/>
          <w:sz w:val="24"/>
          <w:szCs w:val="24"/>
        </w:rPr>
        <w:t>Portfolio Management in Practice</w:t>
      </w:r>
      <w:r w:rsidR="00E02EB3" w:rsidRPr="00E02EB3">
        <w:rPr>
          <w:sz w:val="24"/>
          <w:szCs w:val="24"/>
        </w:rPr>
        <w:t xml:space="preserve"> is designed to provide hands-on experience with the asset management process.  Students </w:t>
      </w:r>
      <w:r w:rsidR="00E02EB3" w:rsidRPr="00E02EB3">
        <w:rPr>
          <w:sz w:val="24"/>
          <w:szCs w:val="24"/>
        </w:rPr>
        <w:lastRenderedPageBreak/>
        <w:t>are assigned to a range of mandates that are current in today’s investment universe – some complex, some traditional, some client-specific, some generic.  Coursework includes weekly presentations and PowerPoint assignments by student groups around different portfolio management perspectives and investment mandates; active student, faculty and visitor feedback and discussion and the use of Bloomberg to construct and deliver portfolios and portfolio analysis for presentation.</w:t>
      </w:r>
    </w:p>
    <w:p w:rsidR="00E02EB3" w:rsidRPr="00E02EB3" w:rsidRDefault="00E02EB3" w:rsidP="00E02EB3">
      <w:pPr>
        <w:pStyle w:val="NoSpacing"/>
        <w:rPr>
          <w:sz w:val="24"/>
          <w:szCs w:val="24"/>
        </w:rPr>
      </w:pPr>
    </w:p>
    <w:p w:rsidR="00E02EB3" w:rsidRPr="00E02EB3" w:rsidRDefault="00E02EB3" w:rsidP="00E02EB3">
      <w:pPr>
        <w:pStyle w:val="NoSpacing"/>
        <w:rPr>
          <w:b/>
          <w:sz w:val="24"/>
          <w:szCs w:val="24"/>
        </w:rPr>
      </w:pPr>
      <w:r w:rsidRPr="00E02EB3">
        <w:rPr>
          <w:b/>
          <w:sz w:val="24"/>
          <w:szCs w:val="24"/>
        </w:rPr>
        <w:t>Specific topics include:</w:t>
      </w:r>
    </w:p>
    <w:p w:rsidR="00E02EB3" w:rsidRPr="00E02EB3" w:rsidRDefault="00E02EB3" w:rsidP="00E02EB3">
      <w:pPr>
        <w:pStyle w:val="NoSpacing"/>
        <w:numPr>
          <w:ilvl w:val="0"/>
          <w:numId w:val="12"/>
        </w:numPr>
        <w:rPr>
          <w:sz w:val="24"/>
          <w:szCs w:val="24"/>
        </w:rPr>
      </w:pPr>
      <w:r w:rsidRPr="00E02EB3">
        <w:rPr>
          <w:sz w:val="24"/>
          <w:szCs w:val="24"/>
        </w:rPr>
        <w:t>Understanding client needs</w:t>
      </w:r>
    </w:p>
    <w:p w:rsidR="00E02EB3" w:rsidRPr="00E02EB3" w:rsidRDefault="00E02EB3" w:rsidP="00E02EB3">
      <w:pPr>
        <w:pStyle w:val="NoSpacing"/>
        <w:numPr>
          <w:ilvl w:val="0"/>
          <w:numId w:val="12"/>
        </w:numPr>
        <w:rPr>
          <w:sz w:val="24"/>
          <w:szCs w:val="24"/>
        </w:rPr>
      </w:pPr>
      <w:r w:rsidRPr="00E02EB3">
        <w:rPr>
          <w:sz w:val="24"/>
          <w:szCs w:val="24"/>
        </w:rPr>
        <w:t xml:space="preserve">Understanding an investment style or mandate and its value proposition </w:t>
      </w:r>
    </w:p>
    <w:p w:rsidR="00E02EB3" w:rsidRPr="00E02EB3" w:rsidRDefault="00E02EB3" w:rsidP="00E02EB3">
      <w:pPr>
        <w:pStyle w:val="NoSpacing"/>
        <w:numPr>
          <w:ilvl w:val="0"/>
          <w:numId w:val="12"/>
        </w:numPr>
        <w:rPr>
          <w:sz w:val="24"/>
          <w:szCs w:val="24"/>
        </w:rPr>
      </w:pPr>
      <w:r w:rsidRPr="00E02EB3">
        <w:rPr>
          <w:sz w:val="24"/>
          <w:szCs w:val="24"/>
        </w:rPr>
        <w:t>Designing a feasible and robust strategy to fulfil the mandate</w:t>
      </w:r>
    </w:p>
    <w:p w:rsidR="00E02EB3" w:rsidRPr="00E02EB3" w:rsidRDefault="00E02EB3" w:rsidP="00E02EB3">
      <w:pPr>
        <w:pStyle w:val="NoSpacing"/>
        <w:numPr>
          <w:ilvl w:val="0"/>
          <w:numId w:val="12"/>
        </w:numPr>
        <w:rPr>
          <w:sz w:val="24"/>
          <w:szCs w:val="24"/>
        </w:rPr>
      </w:pPr>
      <w:r w:rsidRPr="00E02EB3">
        <w:rPr>
          <w:sz w:val="24"/>
          <w:szCs w:val="24"/>
        </w:rPr>
        <w:t>Testing and implementing the mandate with screening and back-testing tools</w:t>
      </w:r>
    </w:p>
    <w:p w:rsidR="00E02EB3" w:rsidRPr="00E02EB3" w:rsidRDefault="00E02EB3" w:rsidP="00E02EB3">
      <w:pPr>
        <w:pStyle w:val="NoSpacing"/>
        <w:numPr>
          <w:ilvl w:val="0"/>
          <w:numId w:val="12"/>
        </w:numPr>
        <w:rPr>
          <w:sz w:val="24"/>
          <w:szCs w:val="24"/>
        </w:rPr>
      </w:pPr>
      <w:r w:rsidRPr="00E02EB3">
        <w:rPr>
          <w:sz w:val="24"/>
          <w:szCs w:val="24"/>
        </w:rPr>
        <w:t>Understanding the strategic environment for your investment style</w:t>
      </w:r>
    </w:p>
    <w:p w:rsidR="00E02EB3" w:rsidRPr="00E02EB3" w:rsidRDefault="00E02EB3" w:rsidP="00E02EB3">
      <w:pPr>
        <w:pStyle w:val="NoSpacing"/>
        <w:numPr>
          <w:ilvl w:val="0"/>
          <w:numId w:val="12"/>
        </w:numPr>
        <w:rPr>
          <w:sz w:val="24"/>
          <w:szCs w:val="24"/>
        </w:rPr>
      </w:pPr>
      <w:r w:rsidRPr="00E02EB3">
        <w:rPr>
          <w:sz w:val="24"/>
          <w:szCs w:val="24"/>
        </w:rPr>
        <w:t>Understanding the micro-structure of executing the strategy</w:t>
      </w:r>
    </w:p>
    <w:p w:rsidR="00E02EB3" w:rsidRPr="00E02EB3" w:rsidRDefault="00E02EB3" w:rsidP="00E02EB3">
      <w:pPr>
        <w:pStyle w:val="NoSpacing"/>
        <w:numPr>
          <w:ilvl w:val="0"/>
          <w:numId w:val="12"/>
        </w:numPr>
        <w:rPr>
          <w:sz w:val="24"/>
          <w:szCs w:val="24"/>
        </w:rPr>
      </w:pPr>
      <w:r w:rsidRPr="00E02EB3">
        <w:rPr>
          <w:sz w:val="24"/>
          <w:szCs w:val="24"/>
        </w:rPr>
        <w:t>Understanding how investment decisions are made in real time</w:t>
      </w:r>
    </w:p>
    <w:p w:rsidR="00E02EB3" w:rsidRPr="00E02EB3" w:rsidRDefault="00E02EB3" w:rsidP="00E02EB3">
      <w:pPr>
        <w:pStyle w:val="NoSpacing"/>
        <w:numPr>
          <w:ilvl w:val="0"/>
          <w:numId w:val="12"/>
        </w:numPr>
        <w:rPr>
          <w:sz w:val="24"/>
          <w:szCs w:val="24"/>
        </w:rPr>
      </w:pPr>
      <w:r w:rsidRPr="00E02EB3">
        <w:rPr>
          <w:sz w:val="24"/>
          <w:szCs w:val="24"/>
        </w:rPr>
        <w:t>Methods for performance analysis and attribution</w:t>
      </w:r>
    </w:p>
    <w:p w:rsidR="00E02EB3" w:rsidRPr="00E02EB3" w:rsidRDefault="00E02EB3" w:rsidP="00E02EB3">
      <w:pPr>
        <w:pStyle w:val="NoSpacing"/>
        <w:numPr>
          <w:ilvl w:val="0"/>
          <w:numId w:val="12"/>
        </w:numPr>
        <w:rPr>
          <w:sz w:val="24"/>
          <w:szCs w:val="24"/>
        </w:rPr>
      </w:pPr>
      <w:r w:rsidRPr="00E02EB3">
        <w:rPr>
          <w:sz w:val="24"/>
          <w:szCs w:val="24"/>
        </w:rPr>
        <w:t>Risk metrics and stress-testing the investment portfolio</w:t>
      </w:r>
    </w:p>
    <w:p w:rsidR="00E02EB3" w:rsidRPr="00E02EB3" w:rsidRDefault="00E02EB3" w:rsidP="00E02EB3">
      <w:pPr>
        <w:pStyle w:val="NoSpacing"/>
        <w:numPr>
          <w:ilvl w:val="0"/>
          <w:numId w:val="12"/>
        </w:numPr>
        <w:rPr>
          <w:sz w:val="24"/>
          <w:szCs w:val="24"/>
        </w:rPr>
      </w:pPr>
      <w:r w:rsidRPr="00E02EB3">
        <w:rPr>
          <w:sz w:val="24"/>
          <w:szCs w:val="24"/>
        </w:rPr>
        <w:t>Communicating complex investment topics simply and clearly to clients</w:t>
      </w:r>
    </w:p>
    <w:p w:rsidR="00E02EB3" w:rsidRPr="00E02EB3" w:rsidRDefault="00E02EB3" w:rsidP="00E02EB3">
      <w:pPr>
        <w:pStyle w:val="NoSpacing"/>
        <w:numPr>
          <w:ilvl w:val="0"/>
          <w:numId w:val="12"/>
        </w:numPr>
        <w:rPr>
          <w:sz w:val="24"/>
          <w:szCs w:val="24"/>
        </w:rPr>
      </w:pPr>
      <w:r w:rsidRPr="00E02EB3">
        <w:rPr>
          <w:sz w:val="24"/>
          <w:szCs w:val="24"/>
        </w:rPr>
        <w:t>Identifying and mitigating operational risk, event and headline risk</w:t>
      </w:r>
    </w:p>
    <w:p w:rsidR="00E02EB3" w:rsidRPr="00E02EB3" w:rsidRDefault="00E02EB3" w:rsidP="00E02EB3">
      <w:pPr>
        <w:pStyle w:val="NoSpacing"/>
        <w:numPr>
          <w:ilvl w:val="0"/>
          <w:numId w:val="12"/>
        </w:numPr>
        <w:rPr>
          <w:sz w:val="24"/>
          <w:szCs w:val="24"/>
        </w:rPr>
      </w:pPr>
      <w:r w:rsidRPr="00E02EB3">
        <w:rPr>
          <w:sz w:val="24"/>
          <w:szCs w:val="24"/>
        </w:rPr>
        <w:t>Understanding and articulating the long-term expectations about the portfolio: forecasting methods</w:t>
      </w:r>
    </w:p>
    <w:p w:rsidR="00E02EB3" w:rsidRPr="00E02EB3" w:rsidRDefault="00E02EB3" w:rsidP="00E02EB3">
      <w:pPr>
        <w:pStyle w:val="NoSpacing"/>
        <w:numPr>
          <w:ilvl w:val="0"/>
          <w:numId w:val="12"/>
        </w:numPr>
        <w:rPr>
          <w:sz w:val="24"/>
          <w:szCs w:val="24"/>
        </w:rPr>
      </w:pPr>
      <w:r w:rsidRPr="00E02EB3">
        <w:rPr>
          <w:sz w:val="24"/>
          <w:szCs w:val="24"/>
        </w:rPr>
        <w:t>Understanding self-assessment, group dynamics and the functioning of the investment team</w:t>
      </w:r>
    </w:p>
    <w:p w:rsidR="00E02EB3" w:rsidRPr="00E02EB3" w:rsidRDefault="00E02EB3" w:rsidP="00E02EB3">
      <w:pPr>
        <w:pStyle w:val="NoSpacing"/>
        <w:numPr>
          <w:ilvl w:val="0"/>
          <w:numId w:val="12"/>
        </w:numPr>
        <w:rPr>
          <w:sz w:val="24"/>
          <w:szCs w:val="24"/>
        </w:rPr>
      </w:pPr>
      <w:r w:rsidRPr="00E02EB3">
        <w:rPr>
          <w:sz w:val="24"/>
          <w:szCs w:val="24"/>
        </w:rPr>
        <w:t>Developing and presenting and explaining investment results</w:t>
      </w:r>
    </w:p>
    <w:p w:rsidR="00E02EB3" w:rsidRPr="00E02EB3" w:rsidRDefault="00E02EB3" w:rsidP="00E02EB3">
      <w:pPr>
        <w:pStyle w:val="NoSpacing"/>
        <w:rPr>
          <w:sz w:val="24"/>
          <w:szCs w:val="24"/>
        </w:rPr>
      </w:pPr>
    </w:p>
    <w:p w:rsidR="00E02EB3" w:rsidRPr="00E02EB3" w:rsidRDefault="00E02EB3" w:rsidP="00E02EB3">
      <w:pPr>
        <w:pStyle w:val="NoSpacing"/>
        <w:rPr>
          <w:sz w:val="24"/>
          <w:szCs w:val="24"/>
        </w:rPr>
      </w:pPr>
      <w:r w:rsidRPr="00E02EB3">
        <w:rPr>
          <w:sz w:val="24"/>
          <w:szCs w:val="24"/>
        </w:rPr>
        <w:t xml:space="preserve">Students work in teams to fulfill different investment mandates.  The meetings will consist of lectures, discussion and student presentations.  Assignments are specified as either memos or PowerPoint “decks” due prior to class on the day of the assignment via Canvas.  Late submissions lose a full grade. </w:t>
      </w:r>
    </w:p>
    <w:p w:rsidR="00E02EB3" w:rsidRPr="00E02EB3" w:rsidRDefault="00E02EB3" w:rsidP="00E02EB3">
      <w:pPr>
        <w:pStyle w:val="NoSpacing"/>
        <w:rPr>
          <w:sz w:val="24"/>
          <w:szCs w:val="24"/>
        </w:rPr>
      </w:pPr>
    </w:p>
    <w:p w:rsidR="00E02EB3" w:rsidRPr="00E02EB3" w:rsidRDefault="00E02EB3" w:rsidP="00E02EB3">
      <w:pPr>
        <w:pStyle w:val="NoSpacing"/>
        <w:rPr>
          <w:b/>
          <w:sz w:val="24"/>
          <w:szCs w:val="24"/>
        </w:rPr>
      </w:pPr>
      <w:r w:rsidRPr="00E02EB3">
        <w:rPr>
          <w:b/>
          <w:sz w:val="24"/>
          <w:szCs w:val="24"/>
        </w:rPr>
        <w:t>Each team should be prepared to make a 20 minute presentation on the mandate, their strategy and their progress thus far in addition to the assignment.  We recommend to maintain a set of overview slides in addition to the current, topic-specific assignment.</w:t>
      </w:r>
    </w:p>
    <w:p w:rsidR="00E02EB3" w:rsidRPr="00E02EB3" w:rsidRDefault="00E02EB3" w:rsidP="00E02EB3">
      <w:pPr>
        <w:pStyle w:val="NoSpacing"/>
        <w:rPr>
          <w:b/>
          <w:sz w:val="24"/>
          <w:szCs w:val="24"/>
        </w:rPr>
      </w:pPr>
    </w:p>
    <w:p w:rsidR="00E02EB3" w:rsidRPr="00E02EB3" w:rsidRDefault="00E02EB3" w:rsidP="00E02EB3">
      <w:pPr>
        <w:pStyle w:val="NoSpacing"/>
        <w:rPr>
          <w:b/>
          <w:sz w:val="24"/>
          <w:szCs w:val="24"/>
        </w:rPr>
      </w:pPr>
      <w:r w:rsidRPr="00E02EB3">
        <w:rPr>
          <w:b/>
          <w:sz w:val="24"/>
          <w:szCs w:val="24"/>
        </w:rPr>
        <w:t>A few important points to remember:</w:t>
      </w:r>
    </w:p>
    <w:p w:rsidR="00E02EB3" w:rsidRPr="00E02EB3" w:rsidRDefault="00E02EB3" w:rsidP="00E02EB3">
      <w:pPr>
        <w:pStyle w:val="NoSpacing"/>
        <w:numPr>
          <w:ilvl w:val="0"/>
          <w:numId w:val="11"/>
        </w:numPr>
        <w:rPr>
          <w:sz w:val="24"/>
          <w:szCs w:val="24"/>
        </w:rPr>
      </w:pPr>
      <w:r w:rsidRPr="00E02EB3">
        <w:rPr>
          <w:sz w:val="24"/>
          <w:szCs w:val="24"/>
        </w:rPr>
        <w:t>GRADING WILL NOT DEPEND ON THE INVESTMENT RETURN OF YOUR PORTFOLIO.  This is not an investment competition.  Short-term performance is irrelevant to assessment of investment skill in virtually all cases, and may lead to inappropriate risk-taking.</w:t>
      </w:r>
    </w:p>
    <w:p w:rsidR="00E02EB3" w:rsidRPr="00E02EB3" w:rsidRDefault="00E02EB3" w:rsidP="00E02EB3">
      <w:pPr>
        <w:pStyle w:val="NoSpacing"/>
        <w:numPr>
          <w:ilvl w:val="0"/>
          <w:numId w:val="11"/>
        </w:numPr>
        <w:rPr>
          <w:sz w:val="24"/>
          <w:szCs w:val="24"/>
        </w:rPr>
      </w:pPr>
      <w:r w:rsidRPr="00E02EB3">
        <w:rPr>
          <w:sz w:val="24"/>
          <w:szCs w:val="24"/>
        </w:rPr>
        <w:t>Teams should take portfolio construction seriously from the beginning.  The portfolio is a serious simulation.  From day one, think about what is best for a hypothetical client.</w:t>
      </w:r>
    </w:p>
    <w:p w:rsidR="00E02EB3" w:rsidRPr="00E02EB3" w:rsidRDefault="00E02EB3" w:rsidP="00E02EB3">
      <w:pPr>
        <w:pStyle w:val="NoSpacing"/>
        <w:numPr>
          <w:ilvl w:val="0"/>
          <w:numId w:val="11"/>
        </w:numPr>
        <w:rPr>
          <w:sz w:val="24"/>
          <w:szCs w:val="24"/>
        </w:rPr>
      </w:pPr>
      <w:r w:rsidRPr="00E02EB3">
        <w:rPr>
          <w:sz w:val="24"/>
          <w:szCs w:val="24"/>
        </w:rPr>
        <w:t>When we have visitors to class from practice, take extra care to represent Yale SOM well.  The quality of your presentations and comments affect your and SOM’s reputation.</w:t>
      </w:r>
    </w:p>
    <w:p w:rsidR="00E02EB3" w:rsidRPr="00E02EB3" w:rsidRDefault="00E02EB3" w:rsidP="00E02EB3">
      <w:pPr>
        <w:pStyle w:val="NoSpacing"/>
        <w:ind w:left="360"/>
        <w:rPr>
          <w:sz w:val="24"/>
          <w:szCs w:val="24"/>
        </w:rPr>
      </w:pPr>
    </w:p>
    <w:p w:rsidR="00E02EB3" w:rsidRPr="00E02EB3" w:rsidRDefault="00E02EB3" w:rsidP="00E02EB3">
      <w:pPr>
        <w:pStyle w:val="NoSpacing"/>
        <w:rPr>
          <w:sz w:val="24"/>
          <w:szCs w:val="24"/>
        </w:rPr>
      </w:pPr>
      <w:r w:rsidRPr="00E02EB3">
        <w:rPr>
          <w:sz w:val="24"/>
          <w:szCs w:val="24"/>
        </w:rPr>
        <w:t>The course will meet twice a week on Tuesdays and Thursdays from 2:40 pm to 4:00 pm.  Students will manage the portfolio with Bloomberg.  Some analysis may be done in Excel because professional software lacks certain capabilities – i.e. risk analysis. </w:t>
      </w:r>
    </w:p>
    <w:p w:rsidR="00E02EB3" w:rsidRPr="00E02EB3" w:rsidRDefault="00E02EB3" w:rsidP="00E02EB3">
      <w:pPr>
        <w:pStyle w:val="NoSpacing"/>
        <w:rPr>
          <w:sz w:val="24"/>
          <w:szCs w:val="24"/>
        </w:rPr>
      </w:pPr>
    </w:p>
    <w:p w:rsidR="00D10F5C" w:rsidRPr="00E02EB3" w:rsidRDefault="00E02EB3" w:rsidP="00E02EB3">
      <w:pPr>
        <w:pStyle w:val="NormalWeb"/>
        <w:spacing w:before="120" w:beforeAutospacing="0" w:after="0" w:afterAutospacing="0"/>
        <w:contextualSpacing/>
        <w:rPr>
          <w:rFonts w:asciiTheme="minorHAnsi" w:eastAsiaTheme="minorEastAsia" w:hAnsiTheme="minorHAnsi" w:cstheme="minorHAnsi"/>
          <w:color w:val="C00000"/>
        </w:rPr>
      </w:pPr>
      <w:r w:rsidRPr="00E02EB3">
        <w:rPr>
          <w:rFonts w:asciiTheme="minorHAnsi" w:hAnsiTheme="minorHAnsi"/>
        </w:rPr>
        <w:t>Investment Management is a useful pre-requisite for this course.  If you have not taken this, please contact the instructor to discuss.</w:t>
      </w:r>
    </w:p>
    <w:p w:rsidR="00E02EB3" w:rsidRPr="00E02EB3" w:rsidRDefault="00E02EB3" w:rsidP="00837704">
      <w:pPr>
        <w:spacing w:after="0" w:line="240" w:lineRule="auto"/>
        <w:contextualSpacing/>
        <w:rPr>
          <w:rFonts w:eastAsia="Times New Roman" w:cstheme="minorHAnsi"/>
          <w:b/>
          <w:sz w:val="24"/>
          <w:szCs w:val="24"/>
        </w:rPr>
      </w:pPr>
    </w:p>
    <w:p w:rsidR="00F565CF" w:rsidRPr="00E02EB3" w:rsidRDefault="00D10F5C" w:rsidP="00837704">
      <w:pPr>
        <w:spacing w:after="0" w:line="240" w:lineRule="auto"/>
        <w:contextualSpacing/>
        <w:rPr>
          <w:sz w:val="24"/>
          <w:szCs w:val="24"/>
        </w:rPr>
      </w:pPr>
      <w:r w:rsidRPr="00E02EB3">
        <w:rPr>
          <w:rFonts w:eastAsia="Times New Roman" w:cstheme="minorHAnsi"/>
          <w:b/>
          <w:sz w:val="24"/>
          <w:szCs w:val="24"/>
        </w:rPr>
        <w:t>Course Objectives:</w:t>
      </w:r>
      <w:r w:rsidR="00837704" w:rsidRPr="00E02EB3">
        <w:rPr>
          <w:rFonts w:cstheme="minorHAnsi"/>
          <w:b/>
          <w:sz w:val="24"/>
          <w:szCs w:val="24"/>
        </w:rPr>
        <w:t xml:space="preserve"> </w:t>
      </w:r>
      <w:r w:rsidR="00E02EB3" w:rsidRPr="00E02EB3">
        <w:rPr>
          <w:rFonts w:cstheme="minorHAnsi"/>
          <w:sz w:val="24"/>
          <w:szCs w:val="24"/>
        </w:rPr>
        <w:t>C</w:t>
      </w:r>
      <w:r w:rsidR="00837704" w:rsidRPr="00E02EB3">
        <w:rPr>
          <w:rFonts w:cstheme="minorHAnsi"/>
          <w:sz w:val="24"/>
          <w:szCs w:val="24"/>
        </w:rPr>
        <w:t>ontact the Instructor</w:t>
      </w:r>
      <w:r w:rsidR="00E02EB3" w:rsidRPr="00E02EB3">
        <w:rPr>
          <w:rFonts w:cstheme="minorHAnsi"/>
          <w:sz w:val="24"/>
          <w:szCs w:val="24"/>
        </w:rPr>
        <w:t>.</w:t>
      </w:r>
    </w:p>
    <w:p w:rsidR="00AC0AF9" w:rsidRPr="00076700" w:rsidRDefault="00AC0AF9" w:rsidP="00BF608B">
      <w:pPr>
        <w:pStyle w:val="Title"/>
        <w:spacing w:after="0"/>
        <w:rPr>
          <w:rFonts w:asciiTheme="minorHAnsi" w:hAnsiTheme="minorHAnsi" w:cstheme="minorHAnsi"/>
          <w:b/>
          <w:color w:val="auto"/>
          <w:sz w:val="24"/>
          <w:szCs w:val="24"/>
        </w:rPr>
      </w:pPr>
    </w:p>
    <w:p w:rsidR="008749A3" w:rsidRDefault="008749A3"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 xml:space="preserve">COURSE REQUIREMENTS </w:t>
      </w:r>
    </w:p>
    <w:p w:rsidR="00B03DC5" w:rsidRPr="00B03DC5" w:rsidRDefault="00B03DC5" w:rsidP="00B03DC5">
      <w:pPr>
        <w:spacing w:after="0" w:line="240" w:lineRule="auto"/>
      </w:pPr>
    </w:p>
    <w:tbl>
      <w:tblPr>
        <w:tblStyle w:val="LightGrid-Accent1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330"/>
        <w:gridCol w:w="720"/>
      </w:tblGrid>
      <w:tr w:rsidR="00E02EB3" w:rsidRPr="00076700" w:rsidTr="00E02EB3">
        <w:trPr>
          <w:cnfStyle w:val="000000100000" w:firstRow="0" w:lastRow="0" w:firstColumn="0" w:lastColumn="0" w:oddVBand="0" w:evenVBand="0" w:oddHBand="1" w:evenHBand="0" w:firstRowFirstColumn="0" w:firstRowLastColumn="0" w:lastRowFirstColumn="0" w:lastRowLastColumn="0"/>
          <w:trHeight w:val="383"/>
        </w:trPr>
        <w:tc>
          <w:tcPr>
            <w:tcW w:w="3330" w:type="dxa"/>
            <w:shd w:val="clear" w:color="auto" w:fill="auto"/>
            <w:vAlign w:val="center"/>
          </w:tcPr>
          <w:p w:rsidR="00E02EB3" w:rsidRPr="00076700" w:rsidRDefault="00E02EB3" w:rsidP="00E02EB3">
            <w:pPr>
              <w:contextualSpacing/>
              <w:rPr>
                <w:rFonts w:cstheme="minorHAnsi"/>
                <w:sz w:val="24"/>
                <w:szCs w:val="24"/>
              </w:rPr>
            </w:pPr>
            <w:r w:rsidRPr="004E3987">
              <w:rPr>
                <w:b/>
              </w:rPr>
              <w:t>Submitted Reports  </w:t>
            </w:r>
          </w:p>
        </w:tc>
        <w:tc>
          <w:tcPr>
            <w:tcW w:w="720" w:type="dxa"/>
            <w:shd w:val="clear" w:color="auto" w:fill="auto"/>
            <w:vAlign w:val="center"/>
          </w:tcPr>
          <w:p w:rsidR="00E02EB3" w:rsidRPr="00076700" w:rsidRDefault="00E02EB3" w:rsidP="00E02EB3">
            <w:pPr>
              <w:contextualSpacing/>
              <w:jc w:val="right"/>
              <w:rPr>
                <w:rFonts w:cstheme="minorHAnsi"/>
                <w:sz w:val="24"/>
                <w:szCs w:val="24"/>
              </w:rPr>
            </w:pPr>
            <w:r w:rsidRPr="004E3987">
              <w:t>40%</w:t>
            </w:r>
          </w:p>
        </w:tc>
      </w:tr>
      <w:tr w:rsidR="00E02EB3" w:rsidRPr="00076700" w:rsidTr="00E02EB3">
        <w:trPr>
          <w:cnfStyle w:val="000000010000" w:firstRow="0" w:lastRow="0" w:firstColumn="0" w:lastColumn="0" w:oddVBand="0" w:evenVBand="0" w:oddHBand="0" w:evenHBand="1" w:firstRowFirstColumn="0" w:firstRowLastColumn="0" w:lastRowFirstColumn="0" w:lastRowLastColumn="0"/>
          <w:trHeight w:val="383"/>
        </w:trPr>
        <w:tc>
          <w:tcPr>
            <w:tcW w:w="3330" w:type="dxa"/>
            <w:shd w:val="clear" w:color="auto" w:fill="auto"/>
            <w:vAlign w:val="center"/>
          </w:tcPr>
          <w:p w:rsidR="00E02EB3" w:rsidRPr="00076700" w:rsidRDefault="00E02EB3" w:rsidP="00E02EB3">
            <w:pPr>
              <w:contextualSpacing/>
              <w:rPr>
                <w:rFonts w:cstheme="minorHAnsi"/>
                <w:sz w:val="24"/>
                <w:szCs w:val="24"/>
              </w:rPr>
            </w:pPr>
            <w:r w:rsidRPr="004E3987">
              <w:rPr>
                <w:b/>
              </w:rPr>
              <w:t>Presentations</w:t>
            </w:r>
          </w:p>
        </w:tc>
        <w:tc>
          <w:tcPr>
            <w:tcW w:w="720" w:type="dxa"/>
            <w:shd w:val="clear" w:color="auto" w:fill="auto"/>
            <w:vAlign w:val="center"/>
          </w:tcPr>
          <w:p w:rsidR="00E02EB3" w:rsidRPr="00076700" w:rsidRDefault="00E02EB3" w:rsidP="00E02EB3">
            <w:pPr>
              <w:contextualSpacing/>
              <w:jc w:val="right"/>
              <w:rPr>
                <w:sz w:val="24"/>
                <w:szCs w:val="24"/>
              </w:rPr>
            </w:pPr>
            <w:r w:rsidRPr="004E3987">
              <w:t>30%</w:t>
            </w:r>
          </w:p>
        </w:tc>
      </w:tr>
      <w:tr w:rsidR="00E02EB3" w:rsidRPr="00076700" w:rsidTr="00E02EB3">
        <w:trPr>
          <w:cnfStyle w:val="000000100000" w:firstRow="0" w:lastRow="0" w:firstColumn="0" w:lastColumn="0" w:oddVBand="0" w:evenVBand="0" w:oddHBand="1" w:evenHBand="0" w:firstRowFirstColumn="0" w:firstRowLastColumn="0" w:lastRowFirstColumn="0" w:lastRowLastColumn="0"/>
          <w:trHeight w:val="383"/>
        </w:trPr>
        <w:tc>
          <w:tcPr>
            <w:tcW w:w="3330" w:type="dxa"/>
            <w:shd w:val="clear" w:color="auto" w:fill="auto"/>
            <w:vAlign w:val="center"/>
          </w:tcPr>
          <w:p w:rsidR="00E02EB3" w:rsidRPr="00076700" w:rsidRDefault="00E02EB3" w:rsidP="00E02EB3">
            <w:pPr>
              <w:contextualSpacing/>
              <w:rPr>
                <w:rFonts w:cstheme="minorHAnsi"/>
                <w:sz w:val="24"/>
                <w:szCs w:val="24"/>
              </w:rPr>
            </w:pPr>
            <w:r w:rsidRPr="004E3987">
              <w:rPr>
                <w:b/>
              </w:rPr>
              <w:t>Attendance and Participation  </w:t>
            </w:r>
          </w:p>
        </w:tc>
        <w:tc>
          <w:tcPr>
            <w:tcW w:w="720" w:type="dxa"/>
            <w:shd w:val="clear" w:color="auto" w:fill="auto"/>
            <w:vAlign w:val="center"/>
          </w:tcPr>
          <w:p w:rsidR="00E02EB3" w:rsidRPr="00076700" w:rsidRDefault="00E02EB3" w:rsidP="00E02EB3">
            <w:pPr>
              <w:contextualSpacing/>
              <w:jc w:val="right"/>
              <w:rPr>
                <w:rFonts w:cstheme="minorHAnsi"/>
                <w:sz w:val="24"/>
                <w:szCs w:val="24"/>
              </w:rPr>
            </w:pPr>
            <w:r w:rsidRPr="004E3987">
              <w:t>30%</w:t>
            </w:r>
          </w:p>
        </w:tc>
      </w:tr>
    </w:tbl>
    <w:p w:rsidR="00ED373C" w:rsidRDefault="00ED373C" w:rsidP="00B03DC5">
      <w:pPr>
        <w:spacing w:before="120" w:after="0" w:line="240" w:lineRule="auto"/>
        <w:contextualSpacing/>
        <w:rPr>
          <w:rFonts w:eastAsiaTheme="minorHAnsi" w:cstheme="minorHAnsi"/>
          <w:sz w:val="24"/>
          <w:szCs w:val="24"/>
        </w:rPr>
      </w:pPr>
    </w:p>
    <w:p w:rsidR="00B03DC5" w:rsidRDefault="00B03DC5" w:rsidP="00B03DC5">
      <w:pPr>
        <w:spacing w:before="120" w:after="0" w:line="240" w:lineRule="auto"/>
        <w:contextualSpacing/>
        <w:rPr>
          <w:rFonts w:eastAsiaTheme="minorHAnsi" w:cstheme="minorHAnsi"/>
          <w:sz w:val="24"/>
          <w:szCs w:val="24"/>
        </w:rPr>
      </w:pPr>
      <w:r>
        <w:rPr>
          <w:rFonts w:eastAsiaTheme="minorHAnsi" w:cstheme="minorHAnsi"/>
          <w:sz w:val="24"/>
          <w:szCs w:val="24"/>
        </w:rPr>
        <w:t xml:space="preserve">Please see the Yale SOM Grading Policy at </w:t>
      </w:r>
      <w:hyperlink r:id="rId12" w:history="1">
        <w:r w:rsidRPr="00492F10">
          <w:rPr>
            <w:rStyle w:val="Hyperlink"/>
            <w:rFonts w:eastAsiaTheme="minorHAnsi" w:cstheme="minorHAnsi"/>
            <w:sz w:val="24"/>
            <w:szCs w:val="24"/>
          </w:rPr>
          <w:t>http://portal.som.yale.edu/page/grading-policy</w:t>
        </w:r>
      </w:hyperlink>
    </w:p>
    <w:p w:rsidR="00AC0AF9" w:rsidRPr="00076700" w:rsidRDefault="00AC0AF9" w:rsidP="00BF608B">
      <w:pPr>
        <w:pStyle w:val="Title"/>
        <w:spacing w:after="0"/>
        <w:rPr>
          <w:rFonts w:asciiTheme="minorHAnsi" w:hAnsiTheme="minorHAnsi" w:cstheme="minorHAnsi"/>
          <w:b/>
          <w:color w:val="auto"/>
          <w:sz w:val="24"/>
          <w:szCs w:val="24"/>
        </w:rPr>
      </w:pPr>
    </w:p>
    <w:p w:rsidR="008749A3" w:rsidRPr="00076700" w:rsidRDefault="00954D29"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DESCRIPTIONS OF ASSIGN</w:t>
      </w:r>
      <w:r w:rsidR="00B0224C">
        <w:rPr>
          <w:rFonts w:asciiTheme="minorHAnsi" w:hAnsiTheme="minorHAnsi" w:cstheme="minorHAnsi"/>
          <w:b/>
          <w:color w:val="auto"/>
          <w:sz w:val="24"/>
          <w:szCs w:val="24"/>
        </w:rPr>
        <w:t>MENTS/PROJECTS</w:t>
      </w:r>
      <w:r w:rsidR="00837704">
        <w:rPr>
          <w:rFonts w:asciiTheme="minorHAnsi" w:hAnsiTheme="minorHAnsi" w:cstheme="minorHAnsi"/>
          <w:b/>
          <w:color w:val="auto"/>
          <w:sz w:val="24"/>
          <w:szCs w:val="24"/>
        </w:rPr>
        <w:t>/PROBLEM SETS</w:t>
      </w:r>
    </w:p>
    <w:p w:rsidR="00E02EB3" w:rsidRPr="00DC1736" w:rsidRDefault="00E02EB3" w:rsidP="00E02EB3">
      <w:pPr>
        <w:spacing w:before="100" w:beforeAutospacing="1" w:after="100" w:afterAutospacing="1" w:line="240" w:lineRule="auto"/>
        <w:rPr>
          <w:rFonts w:eastAsia="Times New Roman" w:cs="Times New Roman"/>
          <w:bCs/>
          <w:color w:val="000000"/>
          <w:kern w:val="36"/>
        </w:rPr>
      </w:pPr>
      <w:r>
        <w:rPr>
          <w:rFonts w:eastAsia="Times New Roman" w:cs="Times New Roman"/>
          <w:b/>
          <w:bCs/>
          <w:color w:val="000000"/>
          <w:kern w:val="36"/>
        </w:rPr>
        <w:t>Student Presentations:</w:t>
      </w:r>
      <w:r>
        <w:rPr>
          <w:rFonts w:eastAsia="Times New Roman" w:cs="Times New Roman"/>
          <w:bCs/>
          <w:color w:val="000000"/>
          <w:kern w:val="36"/>
        </w:rPr>
        <w:t xml:space="preserve">  On days for which each assignment is due, one group will be selected to present their analysis using PowerPoint.  Come prepared to be asked to present.</w:t>
      </w:r>
    </w:p>
    <w:p w:rsidR="00E02EB3" w:rsidRDefault="00E02EB3" w:rsidP="00E02EB3">
      <w:pPr>
        <w:spacing w:before="100" w:beforeAutospacing="1" w:after="100" w:afterAutospacing="1" w:line="240" w:lineRule="auto"/>
        <w:rPr>
          <w:rFonts w:eastAsia="Times New Roman" w:cs="Times New Roman"/>
          <w:b/>
          <w:bCs/>
        </w:rPr>
      </w:pPr>
      <w:r w:rsidRPr="004E3987">
        <w:rPr>
          <w:rFonts w:eastAsia="Times New Roman" w:cs="Times New Roman"/>
          <w:b/>
          <w:bCs/>
        </w:rPr>
        <w:t>Mandate Allocation</w:t>
      </w:r>
    </w:p>
    <w:p w:rsidR="00E02EB3" w:rsidRPr="0098598E" w:rsidRDefault="00E02EB3" w:rsidP="00E02EB3">
      <w:pPr>
        <w:spacing w:before="100" w:beforeAutospacing="1" w:after="100" w:afterAutospacing="1" w:line="240" w:lineRule="auto"/>
        <w:rPr>
          <w:rFonts w:eastAsia="Times New Roman" w:cs="Times New Roman"/>
          <w:bCs/>
        </w:rPr>
      </w:pPr>
      <w:r w:rsidRPr="0098598E">
        <w:rPr>
          <w:rFonts w:eastAsia="Times New Roman" w:cs="Times New Roman"/>
          <w:bCs/>
        </w:rPr>
        <w:t>On the first day:</w:t>
      </w:r>
    </w:p>
    <w:p w:rsidR="00E02EB3" w:rsidRPr="0098598E" w:rsidRDefault="00E02EB3" w:rsidP="00E02EB3">
      <w:pPr>
        <w:pStyle w:val="ListParagraph"/>
        <w:numPr>
          <w:ilvl w:val="0"/>
          <w:numId w:val="13"/>
        </w:numPr>
        <w:spacing w:before="100" w:beforeAutospacing="1" w:after="100" w:afterAutospacing="1" w:line="240" w:lineRule="auto"/>
        <w:contextualSpacing w:val="0"/>
        <w:rPr>
          <w:bCs/>
        </w:rPr>
      </w:pPr>
      <w:r w:rsidRPr="0098598E">
        <w:rPr>
          <w:bCs/>
        </w:rPr>
        <w:t xml:space="preserve">Form a team of 3-5 students.  If you cannot find </w:t>
      </w:r>
      <w:r>
        <w:rPr>
          <w:bCs/>
        </w:rPr>
        <w:t xml:space="preserve">a </w:t>
      </w:r>
      <w:r w:rsidRPr="0098598E">
        <w:rPr>
          <w:bCs/>
        </w:rPr>
        <w:t>group, please inform us and we will match you with a group.</w:t>
      </w:r>
    </w:p>
    <w:p w:rsidR="00E02EB3" w:rsidRPr="00FA030E" w:rsidRDefault="00E02EB3" w:rsidP="00E02EB3">
      <w:pPr>
        <w:pStyle w:val="ListParagraph"/>
        <w:numPr>
          <w:ilvl w:val="0"/>
          <w:numId w:val="13"/>
        </w:numPr>
        <w:spacing w:before="100" w:beforeAutospacing="1" w:after="100" w:afterAutospacing="1" w:line="240" w:lineRule="auto"/>
        <w:contextualSpacing w:val="0"/>
      </w:pPr>
      <w:r w:rsidRPr="0098598E">
        <w:rPr>
          <w:bCs/>
        </w:rPr>
        <w:t xml:space="preserve">Read the options below. </w:t>
      </w:r>
      <w:r>
        <w:rPr>
          <w:bCs/>
        </w:rPr>
        <w:t xml:space="preserve"> </w:t>
      </w:r>
      <w:r w:rsidRPr="0098598E">
        <w:t>Each team must rank their top 3 mandate choices “1” = top.  You must specify a mandate from each column.  We will collect these in the first class meeting. </w:t>
      </w:r>
    </w:p>
    <w:p w:rsidR="00E02EB3" w:rsidRPr="00FA030E" w:rsidRDefault="00E02EB3" w:rsidP="00E02EB3">
      <w:pPr>
        <w:pStyle w:val="ListParagraph"/>
        <w:numPr>
          <w:ilvl w:val="0"/>
          <w:numId w:val="13"/>
        </w:numPr>
        <w:spacing w:before="100" w:beforeAutospacing="1" w:after="100" w:afterAutospacing="1" w:line="240" w:lineRule="auto"/>
        <w:contextualSpacing w:val="0"/>
        <w:rPr>
          <w:b/>
        </w:rPr>
      </w:pPr>
      <w:r w:rsidRPr="00FA030E">
        <w:t>Each</w:t>
      </w:r>
      <w:r w:rsidRPr="0098598E">
        <w:t xml:space="preserve"> student </w:t>
      </w:r>
      <w:r>
        <w:t xml:space="preserve">must fill </w:t>
      </w:r>
      <w:r w:rsidRPr="0098598E">
        <w:t xml:space="preserve">out these four questions about your professional/educational background.  We will use these as part of the process of choosing a mandate for the group. </w:t>
      </w:r>
      <w:r>
        <w:t xml:space="preserve"> </w:t>
      </w:r>
      <w:r w:rsidRPr="0098598E">
        <w:t>On a scale of 1-5 rank yourself:</w:t>
      </w:r>
      <w:r w:rsidRPr="0098598E">
        <w:tab/>
      </w:r>
      <w:r>
        <w:br/>
      </w:r>
      <w:r>
        <w:br/>
      </w:r>
      <w:r>
        <w:tab/>
      </w:r>
      <w:r>
        <w:tab/>
      </w:r>
      <w:r>
        <w:tab/>
      </w:r>
      <w:r>
        <w:tab/>
      </w:r>
      <w:r>
        <w:tab/>
      </w:r>
      <w:r>
        <w:tab/>
      </w:r>
      <w:r w:rsidRPr="00E02EB3">
        <w:rPr>
          <w:b/>
          <w:u w:val="single"/>
        </w:rPr>
        <w:t>Less</w:t>
      </w:r>
      <w:r w:rsidRPr="00E02EB3">
        <w:rPr>
          <w:b/>
          <w:u w:val="single"/>
        </w:rPr>
        <w:tab/>
      </w:r>
      <w:r w:rsidRPr="00E02EB3">
        <w:rPr>
          <w:b/>
          <w:u w:val="single"/>
        </w:rPr>
        <w:tab/>
      </w:r>
      <w:r w:rsidRPr="00E02EB3">
        <w:rPr>
          <w:b/>
          <w:u w:val="single"/>
        </w:rPr>
        <w:tab/>
      </w:r>
      <w:r w:rsidRPr="00E02EB3">
        <w:rPr>
          <w:b/>
          <w:u w:val="single"/>
        </w:rPr>
        <w:tab/>
        <w:t>More</w:t>
      </w:r>
    </w:p>
    <w:p w:rsidR="00E02EB3" w:rsidRPr="0098598E" w:rsidRDefault="00E02EB3" w:rsidP="00E02EB3">
      <w:pPr>
        <w:pStyle w:val="ListParagraph"/>
        <w:numPr>
          <w:ilvl w:val="1"/>
          <w:numId w:val="13"/>
        </w:numPr>
        <w:spacing w:before="100" w:beforeAutospacing="1" w:after="100" w:afterAutospacing="1" w:line="240" w:lineRule="auto"/>
        <w:contextualSpacing w:val="0"/>
      </w:pPr>
      <w:r w:rsidRPr="0098598E">
        <w:t xml:space="preserve">Quant background/experience </w:t>
      </w:r>
      <w:r w:rsidRPr="0098598E">
        <w:tab/>
      </w:r>
      <w:r>
        <w:tab/>
      </w:r>
      <w:r w:rsidRPr="0098598E">
        <w:t>1</w:t>
      </w:r>
      <w:r w:rsidRPr="0098598E">
        <w:tab/>
        <w:t>2</w:t>
      </w:r>
      <w:r w:rsidRPr="0098598E">
        <w:tab/>
        <w:t>3</w:t>
      </w:r>
      <w:r w:rsidRPr="0098598E">
        <w:tab/>
        <w:t>4</w:t>
      </w:r>
      <w:r w:rsidRPr="0098598E">
        <w:tab/>
        <w:t>5</w:t>
      </w:r>
    </w:p>
    <w:p w:rsidR="00E02EB3" w:rsidRPr="0098598E" w:rsidRDefault="00E02EB3" w:rsidP="00E02EB3">
      <w:pPr>
        <w:pStyle w:val="ListParagraph"/>
        <w:numPr>
          <w:ilvl w:val="1"/>
          <w:numId w:val="13"/>
        </w:numPr>
        <w:spacing w:before="100" w:beforeAutospacing="1" w:after="100" w:afterAutospacing="1" w:line="240" w:lineRule="auto"/>
        <w:contextualSpacing w:val="0"/>
      </w:pPr>
      <w:r w:rsidRPr="0098598E">
        <w:t>Bloomberg knowledge</w:t>
      </w:r>
      <w:r w:rsidRPr="0098598E">
        <w:tab/>
      </w:r>
      <w:r w:rsidRPr="0098598E">
        <w:tab/>
      </w:r>
      <w:r>
        <w:tab/>
      </w:r>
      <w:r w:rsidRPr="0098598E">
        <w:t>1</w:t>
      </w:r>
      <w:r w:rsidRPr="0098598E">
        <w:tab/>
        <w:t>2</w:t>
      </w:r>
      <w:r w:rsidRPr="0098598E">
        <w:tab/>
        <w:t>3</w:t>
      </w:r>
      <w:r w:rsidRPr="0098598E">
        <w:tab/>
        <w:t>4</w:t>
      </w:r>
      <w:r w:rsidRPr="0098598E">
        <w:tab/>
        <w:t>5</w:t>
      </w:r>
    </w:p>
    <w:p w:rsidR="00E02EB3" w:rsidRPr="0098598E" w:rsidRDefault="00E02EB3" w:rsidP="00E02EB3">
      <w:pPr>
        <w:pStyle w:val="ListParagraph"/>
        <w:numPr>
          <w:ilvl w:val="1"/>
          <w:numId w:val="13"/>
        </w:numPr>
        <w:spacing w:before="100" w:beforeAutospacing="1" w:after="100" w:afterAutospacing="1" w:line="240" w:lineRule="auto"/>
        <w:contextualSpacing w:val="0"/>
      </w:pPr>
      <w:r w:rsidRPr="0098598E">
        <w:t>Presentation skills</w:t>
      </w:r>
      <w:r w:rsidRPr="0098598E">
        <w:tab/>
      </w:r>
      <w:r w:rsidRPr="0098598E">
        <w:tab/>
      </w:r>
      <w:r w:rsidRPr="0098598E">
        <w:tab/>
        <w:t>1</w:t>
      </w:r>
      <w:r w:rsidRPr="0098598E">
        <w:tab/>
        <w:t>2</w:t>
      </w:r>
      <w:r w:rsidRPr="0098598E">
        <w:tab/>
        <w:t>3</w:t>
      </w:r>
      <w:r w:rsidRPr="0098598E">
        <w:tab/>
        <w:t>4</w:t>
      </w:r>
      <w:r w:rsidRPr="0098598E">
        <w:tab/>
        <w:t>5</w:t>
      </w:r>
    </w:p>
    <w:p w:rsidR="00E02EB3" w:rsidRPr="0098598E" w:rsidRDefault="00E02EB3" w:rsidP="00E02EB3">
      <w:pPr>
        <w:pStyle w:val="ListParagraph"/>
        <w:numPr>
          <w:ilvl w:val="1"/>
          <w:numId w:val="13"/>
        </w:numPr>
        <w:spacing w:before="100" w:beforeAutospacing="1" w:after="100" w:afterAutospacing="1" w:line="240" w:lineRule="auto"/>
        <w:contextualSpacing w:val="0"/>
      </w:pPr>
      <w:r w:rsidRPr="0098598E">
        <w:t>Investment industry experience</w:t>
      </w:r>
      <w:r w:rsidRPr="0098598E">
        <w:tab/>
      </w:r>
      <w:r>
        <w:tab/>
        <w:t>1</w:t>
      </w:r>
      <w:r w:rsidRPr="0098598E">
        <w:tab/>
        <w:t>2</w:t>
      </w:r>
      <w:r w:rsidRPr="0098598E">
        <w:tab/>
        <w:t>3</w:t>
      </w:r>
      <w:r w:rsidRPr="0098598E">
        <w:tab/>
        <w:t>4</w:t>
      </w:r>
      <w:r w:rsidRPr="0098598E">
        <w:tab/>
        <w:t>5</w:t>
      </w:r>
    </w:p>
    <w:p w:rsidR="00E02EB3" w:rsidRPr="00655E5F" w:rsidRDefault="00E02EB3" w:rsidP="00E02EB3">
      <w:pPr>
        <w:spacing w:before="100" w:beforeAutospacing="1" w:after="100" w:afterAutospacing="1" w:line="240" w:lineRule="auto"/>
        <w:rPr>
          <w:rFonts w:eastAsia="Times New Roman" w:cs="Times New Roman"/>
          <w:b/>
          <w:bCs/>
        </w:rPr>
      </w:pPr>
    </w:p>
    <w:tbl>
      <w:tblPr>
        <w:tblStyle w:val="TableGrid"/>
        <w:tblW w:w="0" w:type="auto"/>
        <w:tblLook w:val="04A0" w:firstRow="1" w:lastRow="0" w:firstColumn="1" w:lastColumn="0" w:noHBand="0" w:noVBand="1"/>
      </w:tblPr>
      <w:tblGrid>
        <w:gridCol w:w="3116"/>
        <w:gridCol w:w="3117"/>
        <w:gridCol w:w="3117"/>
      </w:tblGrid>
      <w:tr w:rsidR="00E02EB3" w:rsidRPr="004E3987" w:rsidTr="00E02EB3">
        <w:tc>
          <w:tcPr>
            <w:tcW w:w="3116" w:type="dxa"/>
          </w:tcPr>
          <w:p w:rsidR="00E02EB3" w:rsidRPr="004E3987" w:rsidRDefault="00E02EB3" w:rsidP="00E02EB3">
            <w:pPr>
              <w:spacing w:before="100" w:beforeAutospacing="1" w:after="100" w:afterAutospacing="1"/>
              <w:jc w:val="center"/>
              <w:rPr>
                <w:rFonts w:eastAsia="Times New Roman" w:cs="Times New Roman"/>
                <w:b/>
              </w:rPr>
            </w:pPr>
            <w:r w:rsidRPr="004E3987">
              <w:rPr>
                <w:rFonts w:eastAsia="Times New Roman" w:cs="Times New Roman"/>
                <w:b/>
              </w:rPr>
              <w:br/>
              <w:t>Column 1: Long-Only</w:t>
            </w:r>
          </w:p>
        </w:tc>
        <w:tc>
          <w:tcPr>
            <w:tcW w:w="3117" w:type="dxa"/>
          </w:tcPr>
          <w:p w:rsidR="00E02EB3" w:rsidRPr="004E3987" w:rsidRDefault="00E02EB3" w:rsidP="00E02EB3">
            <w:pPr>
              <w:spacing w:before="100" w:beforeAutospacing="1" w:after="100" w:afterAutospacing="1"/>
              <w:jc w:val="center"/>
              <w:rPr>
                <w:rFonts w:eastAsia="Times New Roman" w:cs="Times New Roman"/>
                <w:b/>
              </w:rPr>
            </w:pPr>
            <w:r w:rsidRPr="004E3987">
              <w:rPr>
                <w:rFonts w:eastAsia="Times New Roman" w:cs="Times New Roman"/>
                <w:b/>
              </w:rPr>
              <w:t>Column 2: Alpha, Beta Lambda Strategies</w:t>
            </w:r>
          </w:p>
        </w:tc>
        <w:tc>
          <w:tcPr>
            <w:tcW w:w="3117" w:type="dxa"/>
          </w:tcPr>
          <w:p w:rsidR="00E02EB3" w:rsidRPr="004E3987" w:rsidRDefault="00E02EB3" w:rsidP="00E02EB3">
            <w:pPr>
              <w:spacing w:before="100" w:beforeAutospacing="1" w:after="100" w:afterAutospacing="1"/>
              <w:jc w:val="center"/>
              <w:rPr>
                <w:rFonts w:eastAsia="Times New Roman" w:cs="Times New Roman"/>
                <w:b/>
              </w:rPr>
            </w:pPr>
            <w:r w:rsidRPr="004E3987">
              <w:rPr>
                <w:rFonts w:eastAsia="Times New Roman" w:cs="Times New Roman"/>
                <w:b/>
              </w:rPr>
              <w:t>Column 3: Institutional and Individual Portfolios</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Best ideas/high conviction equity fund for the general institutional market. </w:t>
            </w:r>
            <w:r>
              <w:rPr>
                <w:rFonts w:eastAsia="Times New Roman" w:cs="Times New Roman"/>
              </w:rPr>
              <w:t xml:space="preserve"> </w:t>
            </w:r>
            <w:r w:rsidRPr="004E3987">
              <w:rPr>
                <w:rFonts w:eastAsia="Times New Roman" w:cs="Times New Roman"/>
              </w:rPr>
              <w:t xml:space="preserve">Clients include pension funds, endowments, sovereign funds and family investment trusts. Your firm offers separate accounts for investors over $50 M, and a pooled product for </w:t>
            </w:r>
            <w:r w:rsidRPr="004E3987">
              <w:rPr>
                <w:rFonts w:eastAsia="Times New Roman" w:cs="Times New Roman"/>
              </w:rPr>
              <w:lastRenderedPageBreak/>
              <w:t>investors in the range of $500K to $50M.</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“High conviction” implies choosing securities you have a high expectation will outperform their risk-adjusted benchmark (i.e. generate alpha”).  Client risk assessment may be appropriate for this mandate.</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Long-short environmental impact global equity fund for institutional investors.  A mandate to minimize carbon footprint. Clients include pension funds, endowments, sovereign funds and family investment trusts. Your firm offers separate accounts for investors over $50 M, and a </w:t>
            </w:r>
            <w:r w:rsidRPr="004E3987">
              <w:rPr>
                <w:rFonts w:eastAsia="Times New Roman" w:cs="Times New Roman"/>
              </w:rPr>
              <w:lastRenderedPageBreak/>
              <w:t>pooled product for investors in the range of $500 K to $50 M.</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to define and manage to a goal of minimizing the fund’s carbon footprint while meeting the investment goals of a range of institutional funds which include diversification and, in some cases, a mandated spending policy of 4% to 5% per annum.</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A 2035 target-date fund for the 401(k) market. It will be the default option, and will be reviewed periodically for performance by fiduciaries.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Your clients are either employees in corporate defined contribution pension plans, overseen by a committee with </w:t>
            </w:r>
            <w:r w:rsidRPr="004E3987">
              <w:rPr>
                <w:rFonts w:eastAsia="Times New Roman" w:cs="Times New Roman"/>
              </w:rPr>
              <w:lastRenderedPageBreak/>
              <w:t>fiduciary responsibility, advised and reviewed by a consultant and managed through a record-keeper that negotiates fees and lineups with a plan sponsor, or individual investors in either a taxable or a tax-advantaged account.</w:t>
            </w:r>
          </w:p>
          <w:p w:rsidR="00E02EB3" w:rsidRPr="004E3987" w:rsidRDefault="00E02EB3" w:rsidP="00E02EB3">
            <w:pPr>
              <w:spacing w:before="100" w:beforeAutospacing="1" w:after="100" w:afterAutospacing="1"/>
              <w:rPr>
                <w:rFonts w:eastAsia="Times New Roman" w:cs="Times New Roman"/>
              </w:rPr>
            </w:pP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An emerging markets equities fund for the retail 401(k) market. Your clients are either employees in corporate defined contribution pension plans, overseen by a committee with fiduciary responsibility, advised and reviewed by a consultant and managed through a record-keeper that negotiates fees and lineups with a plan sponsor, or individual investors in either a taxable or a tax-advantaged account.</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to provide “exposure” to emerging markets within a broader diversified portfolio – either with additional alpha or with efficient beta management.</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Equity market neutral hedge fund.  Clients include pension funds, endowments, sovereign funds and family investment trusts.  Your firm offers separate accounts for investors over $50 M, and a pooled product for investors in the range of $500 K to $50 M.</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Your goal is to deliver an “absolute return” of 300 basis points over treasury bills per year net of fees and transactions costs; with zero beta exposure to the S&amp;P 500, using long and short positions in U.S. equity securities and options or futures where appropriate.</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Fees are 1% fixed and 15% incentive fee over a high water mark set at the beginning of the period.</w:t>
            </w:r>
          </w:p>
          <w:p w:rsidR="00E02EB3" w:rsidRPr="004E3987" w:rsidRDefault="00E02EB3" w:rsidP="00E02EB3">
            <w:pPr>
              <w:spacing w:before="100" w:beforeAutospacing="1" w:after="100" w:afterAutospacing="1"/>
              <w:rPr>
                <w:rFonts w:eastAsia="Times New Roman" w:cs="Times New Roman"/>
              </w:rPr>
            </w:pP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A risk-parity portfolio for a 30% under-funded public pension plan, with the mean age of 35 and inflation-protected benefits. The fund is currently $13 BB 60/40 U.S. equities and corporate bonds, and the underfunding is calculated using a 7% expected return/discount rate for future liabilities and contributions of 3% per year.</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For simplicity you can assume ages are log-normally distributed round 35 years with a standard deviation of 6%. And that all employees receive the same payout. </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You are allowed to use publicly traded securities and short positions as needed.  The risk-parity portfolio encompasses 90% of the portfolio, with a 5% liquidity buffer to cover immediate anticipated payouts. </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Your goal is to minimize the chance that the pension fund will fail to deliver its promised benefits, given the current contributions, and to assess what level of contributions are necessary to insure payouts are protected with 75% certainty.</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Best concepts behavioral finance equity fund for the institutional and retail market. </w:t>
            </w:r>
            <w:r w:rsidRPr="004E3987">
              <w:rPr>
                <w:rFonts w:eastAsia="Times New Roman" w:cs="Times New Roman"/>
              </w:rPr>
              <w:lastRenderedPageBreak/>
              <w:t>You offer two products: a long-only mutual fund appropriate for individual investors in either a taxable or a tax-advantaged account and a separate account institutional product aimed at pension funds, endowments, sovereign funds and family trusts.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to use behavioral finance theory and empirical evidence to construct a portfolio to generate positive risk-adjusted returns to a portfolio that may rely of this fund as its primary vehicle for equity exposure.</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Short selling zero-beta hedge fund.   Clients include pension funds, endowments, sovereign </w:t>
            </w:r>
            <w:r w:rsidRPr="004E3987">
              <w:rPr>
                <w:rFonts w:eastAsia="Times New Roman" w:cs="Times New Roman"/>
              </w:rPr>
              <w:lastRenderedPageBreak/>
              <w:t>funds and family investment trusts. Your firm offers separate accounts for investors over $50 M, and a pooled product for investors in the range of $500 K to $50 M.</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to deliver positive alpha with zero beta exposure to the S&amp;P 500, using short positions in U.S. equity securities and options or futures where appropriate to hedge the negative beta risk.</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lastRenderedPageBreak/>
              <w:t xml:space="preserve">Taxable family investment trust that pays out 4% in real terms in perpetuity. The fund is currently </w:t>
            </w:r>
            <w:r w:rsidRPr="004E3987">
              <w:lastRenderedPageBreak/>
              <w:t>holding a portfolio that is comprised of 75% U.S. blue-chip stocks with embedded capital gains of 60%.,  10% non-US equities with 50% embedded capital gains and 15% in high-grade municipal bonds.  Prime concerns include inflation and stability of payout.  Re-construct this portfolio, understand its logic and then implement changes.</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A high-yield corporate fixed income fund for the retail market. 401(k). </w:t>
            </w:r>
            <w:r>
              <w:rPr>
                <w:rFonts w:eastAsia="Times New Roman" w:cs="Times New Roman"/>
              </w:rPr>
              <w:t xml:space="preserve"> </w:t>
            </w:r>
            <w:r w:rsidRPr="004E3987">
              <w:rPr>
                <w:rFonts w:eastAsia="Times New Roman" w:cs="Times New Roman"/>
              </w:rPr>
              <w:t>Your clients are employees in corporate defined contribution pension plans, overseen by a committee with fiduciary responsibility, advised and reviewed by a consultant and managed through a record-keeper that negotiates fees and lineups with a plan sponsor.  Your fund should also be appropriate for individual investors in either a taxable or a tax-advantaged account.</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Goal: to deliver exposure to the asset class, understanding that 401(k) investors in this product typically choose it as a means to access higher income. </w:t>
            </w:r>
            <w:r>
              <w:rPr>
                <w:rFonts w:eastAsia="Times New Roman" w:cs="Times New Roman"/>
              </w:rPr>
              <w:t xml:space="preserve"> </w:t>
            </w:r>
            <w:r w:rsidRPr="004E3987">
              <w:rPr>
                <w:rFonts w:eastAsia="Times New Roman" w:cs="Times New Roman"/>
              </w:rPr>
              <w:t>You may presume that clients are diversified beyond this fund but cannot be sure of it.</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U.S. Equity momentum factor fund for an ETF strategy. </w:t>
            </w:r>
            <w:r>
              <w:rPr>
                <w:rFonts w:eastAsia="Times New Roman" w:cs="Times New Roman"/>
              </w:rPr>
              <w:t xml:space="preserve"> </w:t>
            </w:r>
            <w:r w:rsidRPr="004E3987">
              <w:rPr>
                <w:rFonts w:eastAsia="Times New Roman" w:cs="Times New Roman"/>
              </w:rPr>
              <w:t xml:space="preserve">The fund is benchmarked against peer quantitative momentum funds and alpha is tracked against a three-factor </w:t>
            </w:r>
            <w:proofErr w:type="spellStart"/>
            <w:r w:rsidRPr="004E3987">
              <w:rPr>
                <w:rFonts w:eastAsia="Times New Roman" w:cs="Times New Roman"/>
              </w:rPr>
              <w:t>Fama</w:t>
            </w:r>
            <w:proofErr w:type="spellEnd"/>
            <w:r w:rsidRPr="004E3987">
              <w:rPr>
                <w:rFonts w:eastAsia="Times New Roman" w:cs="Times New Roman"/>
              </w:rPr>
              <w:t>-French model.</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providing momentum factor returns to retail clients, taking into account the risk of under-diversification; microstructure issues such as liquidity, turnover, failure to deliver, and macroeconomic risk.</w:t>
            </w:r>
          </w:p>
          <w:p w:rsidR="00E02EB3" w:rsidRPr="004E3987" w:rsidRDefault="00E02EB3" w:rsidP="00E02EB3">
            <w:pPr>
              <w:spacing w:before="100" w:beforeAutospacing="1" w:after="100" w:afterAutospacing="1"/>
              <w:rPr>
                <w:rFonts w:eastAsia="Times New Roman" w:cs="Times New Roman"/>
              </w:rPr>
            </w:pP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A socially responsible $200 M college endowment with a 5 ½% real return mandate, full public transparency, benchmarked to the Higher Education Price Index. </w:t>
            </w:r>
            <w:r>
              <w:rPr>
                <w:rFonts w:eastAsia="Times New Roman" w:cs="Times New Roman"/>
              </w:rPr>
              <w:t xml:space="preserve"> </w:t>
            </w:r>
            <w:r w:rsidRPr="004E3987">
              <w:rPr>
                <w:rFonts w:eastAsia="Times New Roman" w:cs="Times New Roman"/>
              </w:rPr>
              <w:t xml:space="preserve">The endowment contributes 30% of budget, tuition 60% and gifts 10%.  It is currently invested as follows: </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40% US equities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10% non-US equities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10% U.S. corporate debt</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15% U.S. hedge fund fund-of-fund with </w:t>
            </w:r>
            <w:r w:rsidRPr="000B2A88">
              <w:rPr>
                <w:rFonts w:eastAsia="Times New Roman" w:cs="Times New Roman"/>
                <w:i/>
              </w:rPr>
              <w:t xml:space="preserve">de </w:t>
            </w:r>
            <w:proofErr w:type="spellStart"/>
            <w:r w:rsidRPr="000B2A88">
              <w:rPr>
                <w:rFonts w:eastAsia="Times New Roman" w:cs="Times New Roman"/>
                <w:i/>
              </w:rPr>
              <w:t>minimus</w:t>
            </w:r>
            <w:proofErr w:type="spellEnd"/>
            <w:r w:rsidRPr="004E3987">
              <w:rPr>
                <w:rFonts w:eastAsia="Times New Roman" w:cs="Times New Roman"/>
              </w:rPr>
              <w:t xml:space="preserve"> lock-up.</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20% committed or paid-in private equity buyout fund of funds with average vintage of 4 years.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5% committed or paid-in venture fund of funds w</w:t>
            </w:r>
            <w:r>
              <w:rPr>
                <w:rFonts w:eastAsia="Times New Roman" w:cs="Times New Roman"/>
              </w:rPr>
              <w:t>ith average vintage of 4 years.</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Real estate securities fund for the general institutional market. A long-only fund that invests in REITs and other real-estate </w:t>
            </w:r>
            <w:r w:rsidRPr="004E3987">
              <w:rPr>
                <w:rFonts w:eastAsia="Times New Roman" w:cs="Times New Roman"/>
              </w:rPr>
              <w:lastRenderedPageBreak/>
              <w:t xml:space="preserve">securities in the U.S. market and non-U.S. market.  </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to deliver exposure to the real estate asset class by tracking and if possible exceeding an appropriate (global) REIT/property security benchmark.</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Low-volatility/low-beta factor fund ETF.  The fund is benchmarked against peer quantitative low vol</w:t>
            </w:r>
            <w:r>
              <w:rPr>
                <w:rFonts w:eastAsia="Times New Roman" w:cs="Times New Roman"/>
              </w:rPr>
              <w:t>atility</w:t>
            </w:r>
            <w:r w:rsidRPr="004E3987">
              <w:rPr>
                <w:rFonts w:eastAsia="Times New Roman" w:cs="Times New Roman"/>
              </w:rPr>
              <w:t xml:space="preserve"> and low beta funds and the alpha is </w:t>
            </w:r>
            <w:r w:rsidRPr="004E3987">
              <w:rPr>
                <w:rFonts w:eastAsia="Times New Roman" w:cs="Times New Roman"/>
              </w:rPr>
              <w:lastRenderedPageBreak/>
              <w:t xml:space="preserve">tracked against a four-factor </w:t>
            </w:r>
            <w:proofErr w:type="spellStart"/>
            <w:r w:rsidRPr="004E3987">
              <w:rPr>
                <w:rFonts w:eastAsia="Times New Roman" w:cs="Times New Roman"/>
              </w:rPr>
              <w:t>Fama</w:t>
            </w:r>
            <w:proofErr w:type="spellEnd"/>
            <w:r w:rsidRPr="004E3987">
              <w:rPr>
                <w:rFonts w:eastAsia="Times New Roman" w:cs="Times New Roman"/>
              </w:rPr>
              <w:t>-French model.</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Goal: providing low-vol</w:t>
            </w:r>
            <w:r>
              <w:rPr>
                <w:rFonts w:eastAsia="Times New Roman" w:cs="Times New Roman"/>
              </w:rPr>
              <w:t>atility</w:t>
            </w:r>
            <w:r w:rsidRPr="004E3987">
              <w:rPr>
                <w:rFonts w:eastAsia="Times New Roman" w:cs="Times New Roman"/>
              </w:rPr>
              <w:t xml:space="preserve"> factor returns to retail clients, taking into account the risk of under-diversification, liquidity, turnover and macroeconomic risk.</w:t>
            </w:r>
          </w:p>
          <w:p w:rsidR="00E02EB3" w:rsidRPr="004E3987" w:rsidRDefault="00E02EB3" w:rsidP="00E02EB3">
            <w:pPr>
              <w:spacing w:before="100" w:beforeAutospacing="1" w:after="100" w:afterAutospacing="1"/>
              <w:rPr>
                <w:rFonts w:eastAsia="Times New Roman" w:cs="Times New Roman"/>
              </w:rPr>
            </w:pP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An outsourced CIO firm that manages a pooled portfolio of $4 billion for a dozen clients ranging from sovereign funds to foundations with a mandated 5% spend, to universities, </w:t>
            </w:r>
            <w:r w:rsidRPr="004E3987">
              <w:rPr>
                <w:rFonts w:eastAsia="Times New Roman" w:cs="Times New Roman"/>
              </w:rPr>
              <w:lastRenderedPageBreak/>
              <w:t>foundations, sovereign funds and some high net worth individuals with spending rates from 4% to 6% real spending policy.</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The goal of the fund is to replicate a broadly diversified, “Yale Model” portfolio through the use of publicly traded securities and add significant “alpha” for clients.</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A best ideas </w:t>
            </w:r>
            <w:proofErr w:type="spellStart"/>
            <w:r w:rsidRPr="004E3987">
              <w:rPr>
                <w:rFonts w:eastAsia="Times New Roman" w:cs="Times New Roman"/>
              </w:rPr>
              <w:t>FinTech</w:t>
            </w:r>
            <w:proofErr w:type="spellEnd"/>
            <w:r w:rsidRPr="004E3987">
              <w:rPr>
                <w:rFonts w:eastAsia="Times New Roman" w:cs="Times New Roman"/>
              </w:rPr>
              <w:t xml:space="preserve"> fund for the retail market</w:t>
            </w:r>
            <w:r>
              <w:rPr>
                <w:rFonts w:eastAsia="Times New Roman" w:cs="Times New Roman"/>
              </w:rPr>
              <w:t xml:space="preserve"> </w:t>
            </w:r>
            <w:r w:rsidRPr="004E3987">
              <w:rPr>
                <w:rFonts w:eastAsia="Times New Roman" w:cs="Times New Roman"/>
              </w:rPr>
              <w:t xml:space="preserve">401(k). </w:t>
            </w:r>
            <w:r>
              <w:rPr>
                <w:rFonts w:eastAsia="Times New Roman" w:cs="Times New Roman"/>
              </w:rPr>
              <w:t xml:space="preserve"> </w:t>
            </w:r>
            <w:r w:rsidRPr="004E3987">
              <w:rPr>
                <w:rFonts w:eastAsia="Times New Roman" w:cs="Times New Roman"/>
              </w:rPr>
              <w:t xml:space="preserve">Your clients are either employees in </w:t>
            </w:r>
            <w:r>
              <w:rPr>
                <w:rFonts w:eastAsia="Times New Roman" w:cs="Times New Roman"/>
              </w:rPr>
              <w:t>corporate defined contribution </w:t>
            </w:r>
            <w:r w:rsidRPr="004E3987">
              <w:rPr>
                <w:rFonts w:eastAsia="Times New Roman" w:cs="Times New Roman"/>
              </w:rPr>
              <w:t>pension plans, overseen by a committee with fiduciary responsibility, advised and reviewed by a consultant managed through a record-keeper that negotiates fees and lineups with a plan sponsor, or individual investors in either a taxable or a tax-advantaged account.</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You can presume this is not the entirely of your clients’ investment portfolio, but rather the “aspirational” allocation in most portfolios.  Your goal is to provide exposure to new, possibly transformative, technology by identifying “</w:t>
            </w:r>
            <w:proofErr w:type="spellStart"/>
            <w:r w:rsidRPr="004E3987">
              <w:rPr>
                <w:rFonts w:eastAsia="Times New Roman" w:cs="Times New Roman"/>
              </w:rPr>
              <w:t>FinTech</w:t>
            </w:r>
            <w:proofErr w:type="spellEnd"/>
            <w:r w:rsidRPr="004E3987">
              <w:rPr>
                <w:rFonts w:eastAsia="Times New Roman" w:cs="Times New Roman"/>
              </w:rPr>
              <w:t>” companies with the potential for extremely high growth.</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M&amp;A arbitrage fund ETF. </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Goal:  To generate a 600 </w:t>
            </w:r>
            <w:proofErr w:type="spellStart"/>
            <w:r w:rsidRPr="004E3987">
              <w:rPr>
                <w:rFonts w:eastAsia="Times New Roman" w:cs="Times New Roman"/>
              </w:rPr>
              <w:t>bp</w:t>
            </w:r>
            <w:proofErr w:type="spellEnd"/>
            <w:r w:rsidRPr="004E3987">
              <w:rPr>
                <w:rFonts w:eastAsia="Times New Roman" w:cs="Times New Roman"/>
              </w:rPr>
              <w:t xml:space="preserve"> expected return by investing in announced merger deals (U.S. and abroad) by taking long positions in target firms and short positions in acquirers, taking into account diversification (which impacts the expected information ratio) and the probability of extreme losses that impacts investor returns and the viability of the fund.</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A $4 billion pooled stable value fund for the 401(k) market.  The only low-risk option in most plans.</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The goal is to use longer maturity and higher-yielding (yet very low risk) securities to manage as pooled fund that has 200 401(k) plans, in which the average client’s stable value allocation is 20%.  Major risks include deviation of the crediting rate from yield, default or value impairment and dilution due to client withdrawals.</w:t>
            </w:r>
          </w:p>
        </w:tc>
      </w:tr>
      <w:tr w:rsidR="00E02EB3" w:rsidRPr="004E3987" w:rsidTr="00E02EB3">
        <w:tc>
          <w:tcPr>
            <w:tcW w:w="3116"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A "sin stocks" fund for the mutual fund market. Your clients are either employees in corporate defined contribution pension plans, overseen by a committee with fiduciary responsibility, advised and reviewed by a consultant managed through a record-keeper that negotiates fees and lineups with a plan sponsor, or individual investors in either a </w:t>
            </w:r>
            <w:r w:rsidRPr="004E3987">
              <w:rPr>
                <w:rFonts w:eastAsia="Times New Roman" w:cs="Times New Roman"/>
              </w:rPr>
              <w:lastRenderedPageBreak/>
              <w:t>taxable or a tax-advantaged account.</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Goal: is to exploit compressed valuations of these socially “unpopular” securities, using research that these outperform in the long run. </w:t>
            </w:r>
            <w:r>
              <w:rPr>
                <w:rFonts w:eastAsia="Times New Roman" w:cs="Times New Roman"/>
              </w:rPr>
              <w:t xml:space="preserve"> </w:t>
            </w:r>
            <w:r w:rsidRPr="004E3987">
              <w:rPr>
                <w:rFonts w:eastAsia="Times New Roman" w:cs="Times New Roman"/>
              </w:rPr>
              <w:t>You will be challenged to make the case for holding sin stocks.</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 xml:space="preserve">A risk-timing fund that reallocates between equity and treasuries.  Clients are very large (&gt;&gt;$1 B) pension funds, endowments, sovereign funds and family investment trusts.  Returns are measured in dollars. </w:t>
            </w:r>
            <w:r>
              <w:rPr>
                <w:rFonts w:eastAsia="Times New Roman" w:cs="Times New Roman"/>
              </w:rPr>
              <w:t xml:space="preserve"> </w:t>
            </w:r>
            <w:r w:rsidRPr="004E3987">
              <w:rPr>
                <w:rFonts w:eastAsia="Times New Roman" w:cs="Times New Roman"/>
              </w:rPr>
              <w:t>About half of these clients have a natural exposure to energy.</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lastRenderedPageBreak/>
              <w:t>You can presume that their major risk concerns are about global recession and financial crises and their target return for the fund is 80% of the expected return of a global equity index.</w:t>
            </w:r>
          </w:p>
          <w:p w:rsidR="00E02EB3" w:rsidRPr="004E3987" w:rsidRDefault="00E02EB3" w:rsidP="00E02EB3">
            <w:pPr>
              <w:spacing w:before="100" w:beforeAutospacing="1" w:after="100" w:afterAutospacing="1"/>
              <w:rPr>
                <w:rFonts w:eastAsia="Times New Roman" w:cs="Times New Roman"/>
              </w:rPr>
            </w:pPr>
            <w:r w:rsidRPr="004E3987">
              <w:rPr>
                <w:rFonts w:eastAsia="Times New Roman" w:cs="Times New Roman"/>
              </w:rPr>
              <w:t xml:space="preserve">You rely on macroeconomic assessments and forecasts, historical events and precedents, risk </w:t>
            </w:r>
            <w:proofErr w:type="spellStart"/>
            <w:r w:rsidRPr="004E3987">
              <w:rPr>
                <w:rFonts w:eastAsia="Times New Roman" w:cs="Times New Roman"/>
              </w:rPr>
              <w:t>premia</w:t>
            </w:r>
            <w:proofErr w:type="spellEnd"/>
            <w:r w:rsidRPr="004E3987">
              <w:rPr>
                <w:rFonts w:eastAsia="Times New Roman" w:cs="Times New Roman"/>
              </w:rPr>
              <w:t xml:space="preserve"> implied by prevailing asset prices and other information at your disposal to construct meaningful scenarios and evaluate probabilities.</w:t>
            </w:r>
          </w:p>
        </w:tc>
        <w:tc>
          <w:tcPr>
            <w:tcW w:w="3117" w:type="dxa"/>
          </w:tcPr>
          <w:p w:rsidR="00E02EB3" w:rsidRPr="004E3987" w:rsidRDefault="00E02EB3" w:rsidP="00E02EB3">
            <w:pPr>
              <w:spacing w:before="100" w:beforeAutospacing="1" w:after="100" w:afterAutospacing="1"/>
              <w:rPr>
                <w:rFonts w:eastAsia="Times New Roman" w:cs="Times New Roman"/>
              </w:rPr>
            </w:pPr>
            <w:r w:rsidRPr="004E3987">
              <w:lastRenderedPageBreak/>
              <w:t>A portfolio strategy for the Alaska Permanent Fund Corporation which takes the current allocation as a starting point and seeks to improve the risk/return profile, using publicly traded securities.</w:t>
            </w:r>
          </w:p>
        </w:tc>
      </w:tr>
    </w:tbl>
    <w:p w:rsidR="00D10F5C" w:rsidRPr="00076700" w:rsidRDefault="00D10F5C" w:rsidP="00BF608B">
      <w:pPr>
        <w:pStyle w:val="Title"/>
        <w:spacing w:after="0"/>
        <w:rPr>
          <w:rFonts w:asciiTheme="minorHAnsi" w:hAnsiTheme="minorHAnsi" w:cstheme="minorHAnsi"/>
          <w:b/>
          <w:color w:val="auto"/>
          <w:sz w:val="24"/>
          <w:szCs w:val="24"/>
        </w:rPr>
      </w:pPr>
    </w:p>
    <w:p w:rsidR="00D10F5C" w:rsidRPr="00076700" w:rsidRDefault="00EE3EED"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 xml:space="preserve">YALE SOM </w:t>
      </w:r>
      <w:r w:rsidR="00AA270A">
        <w:rPr>
          <w:rFonts w:asciiTheme="minorHAnsi" w:hAnsiTheme="minorHAnsi" w:cstheme="minorHAnsi"/>
          <w:b/>
          <w:color w:val="auto"/>
          <w:sz w:val="24"/>
          <w:szCs w:val="24"/>
        </w:rPr>
        <w:t>POLICIES</w:t>
      </w:r>
    </w:p>
    <w:p w:rsidR="00AA270A" w:rsidRPr="00AA270A" w:rsidRDefault="00AA270A" w:rsidP="00225F28">
      <w:pPr>
        <w:spacing w:before="120" w:after="0" w:line="240" w:lineRule="auto"/>
        <w:contextualSpacing/>
        <w:rPr>
          <w:rFonts w:eastAsiaTheme="minorHAnsi" w:cstheme="minorHAnsi"/>
          <w:sz w:val="24"/>
          <w:szCs w:val="24"/>
        </w:rPr>
      </w:pPr>
      <w:r w:rsidRPr="00AA270A">
        <w:rPr>
          <w:rFonts w:eastAsiaTheme="minorHAnsi" w:cstheme="minorHAnsi"/>
          <w:sz w:val="24"/>
          <w:szCs w:val="24"/>
        </w:rPr>
        <w:t xml:space="preserve">Please see the Yale School of Management Bulletin at </w:t>
      </w:r>
      <w:hyperlink r:id="rId13" w:history="1">
        <w:r w:rsidR="0016016C" w:rsidRPr="00CE18CB">
          <w:rPr>
            <w:rStyle w:val="Hyperlink"/>
          </w:rPr>
          <w:t>http://www.yale.edu/printer/bulletin/htmlfiles/som/rights-and-responsibilities-of-students.html</w:t>
        </w:r>
      </w:hyperlink>
      <w:r w:rsidR="0016016C">
        <w:t xml:space="preserve"> </w:t>
      </w:r>
      <w:r w:rsidRPr="00AA270A">
        <w:rPr>
          <w:rFonts w:eastAsiaTheme="minorHAnsi" w:cstheme="minorHAnsi"/>
          <w:sz w:val="24"/>
          <w:szCs w:val="24"/>
        </w:rPr>
        <w:t xml:space="preserve"> </w:t>
      </w:r>
      <w:r w:rsidR="0016016C">
        <w:rPr>
          <w:rFonts w:eastAsiaTheme="minorHAnsi" w:cstheme="minorHAnsi"/>
          <w:sz w:val="24"/>
          <w:szCs w:val="24"/>
        </w:rPr>
        <w:t>for Rights and Responsibilities of students</w:t>
      </w:r>
      <w:r w:rsidR="00924D97">
        <w:rPr>
          <w:rFonts w:eastAsiaTheme="minorHAnsi" w:cstheme="minorHAnsi"/>
          <w:sz w:val="24"/>
          <w:szCs w:val="24"/>
        </w:rPr>
        <w:t xml:space="preserve"> and </w:t>
      </w:r>
      <w:r w:rsidR="00924D97" w:rsidRPr="00ED373C">
        <w:rPr>
          <w:rFonts w:cstheme="minorHAnsi"/>
          <w:sz w:val="24"/>
          <w:szCs w:val="24"/>
        </w:rPr>
        <w:t>for information on requesting a course recording</w:t>
      </w:r>
      <w:r w:rsidR="0016016C">
        <w:rPr>
          <w:rFonts w:eastAsiaTheme="minorHAnsi" w:cstheme="minorHAnsi"/>
          <w:sz w:val="24"/>
          <w:szCs w:val="24"/>
        </w:rPr>
        <w:t xml:space="preserve">. </w:t>
      </w:r>
    </w:p>
    <w:p w:rsidR="00B0224C" w:rsidRPr="00B0224C" w:rsidRDefault="00B0224C" w:rsidP="00225F28">
      <w:pPr>
        <w:spacing w:before="120" w:after="0" w:line="240" w:lineRule="auto"/>
        <w:rPr>
          <w:rFonts w:cstheme="minorHAnsi"/>
          <w:b/>
          <w:sz w:val="24"/>
          <w:szCs w:val="24"/>
        </w:rPr>
      </w:pPr>
      <w:r w:rsidRPr="00B0224C">
        <w:rPr>
          <w:rFonts w:cstheme="minorHAnsi"/>
          <w:b/>
          <w:sz w:val="24"/>
          <w:szCs w:val="24"/>
        </w:rPr>
        <w:t>Laptop/Device Policy</w:t>
      </w:r>
    </w:p>
    <w:p w:rsidR="00B0224C" w:rsidRPr="00B0224C" w:rsidRDefault="00B0224C" w:rsidP="00BF608B">
      <w:pPr>
        <w:spacing w:after="0" w:line="240" w:lineRule="auto"/>
        <w:rPr>
          <w:rFonts w:cstheme="minorHAnsi"/>
          <w:sz w:val="24"/>
          <w:szCs w:val="24"/>
        </w:rPr>
      </w:pPr>
      <w:r w:rsidRPr="00B0224C">
        <w:rPr>
          <w:rFonts w:cstheme="minorHAnsi"/>
          <w:sz w:val="24"/>
          <w:szCs w:val="24"/>
        </w:rPr>
        <w:t>Usage not allowed without the express permission of the instructor.</w:t>
      </w:r>
    </w:p>
    <w:p w:rsidR="00B0224C" w:rsidRDefault="00B0224C" w:rsidP="00BF608B">
      <w:pPr>
        <w:pStyle w:val="Title"/>
        <w:spacing w:after="0"/>
        <w:rPr>
          <w:rFonts w:asciiTheme="minorHAnsi" w:hAnsiTheme="minorHAnsi" w:cstheme="minorHAnsi"/>
          <w:b/>
          <w:color w:val="auto"/>
          <w:sz w:val="24"/>
          <w:szCs w:val="24"/>
        </w:rPr>
      </w:pPr>
    </w:p>
    <w:p w:rsidR="00E02EB3" w:rsidRPr="000B3579" w:rsidRDefault="00E02EB3" w:rsidP="00E02EB3">
      <w:pPr>
        <w:spacing w:before="100" w:beforeAutospacing="1" w:after="100" w:afterAutospacing="1" w:line="240" w:lineRule="auto"/>
        <w:outlineLvl w:val="0"/>
        <w:rPr>
          <w:rFonts w:eastAsia="Times New Roman" w:cs="Times New Roman"/>
          <w:b/>
        </w:rPr>
      </w:pPr>
      <w:r>
        <w:rPr>
          <w:rFonts w:eastAsia="Times New Roman" w:cs="Times New Roman"/>
          <w:b/>
        </w:rPr>
        <w:t>CONFLICT OF INTEREST DISCLOSURE</w:t>
      </w:r>
    </w:p>
    <w:p w:rsidR="00E02EB3" w:rsidRPr="004E3987" w:rsidRDefault="00E02EB3" w:rsidP="00E02EB3">
      <w:pPr>
        <w:spacing w:before="100" w:beforeAutospacing="1" w:after="100" w:afterAutospacing="1" w:line="240" w:lineRule="auto"/>
        <w:outlineLvl w:val="0"/>
        <w:rPr>
          <w:rFonts w:eastAsia="Times New Roman" w:cs="Times New Roman"/>
        </w:rPr>
      </w:pPr>
      <w:r>
        <w:rPr>
          <w:rFonts w:eastAsia="Times New Roman" w:cs="Times New Roman"/>
        </w:rPr>
        <w:t xml:space="preserve">William </w:t>
      </w:r>
      <w:proofErr w:type="spellStart"/>
      <w:r>
        <w:rPr>
          <w:rFonts w:eastAsia="Times New Roman" w:cs="Times New Roman"/>
        </w:rPr>
        <w:t>Goetzmann’s</w:t>
      </w:r>
      <w:proofErr w:type="spellEnd"/>
      <w:r>
        <w:rPr>
          <w:rFonts w:eastAsia="Times New Roman" w:cs="Times New Roman"/>
        </w:rPr>
        <w:t xml:space="preserve"> outside activities and relationships are disclosed </w:t>
      </w:r>
      <w:hyperlink r:id="rId14" w:history="1">
        <w:r w:rsidRPr="000B3579">
          <w:rPr>
            <w:rStyle w:val="Hyperlink"/>
            <w:rFonts w:eastAsia="Times New Roman" w:cs="Times New Roman"/>
          </w:rPr>
          <w:t>here</w:t>
        </w:r>
      </w:hyperlink>
      <w:r>
        <w:rPr>
          <w:rFonts w:eastAsia="Times New Roman" w:cs="Times New Roman"/>
        </w:rPr>
        <w:t>.</w:t>
      </w:r>
    </w:p>
    <w:p w:rsidR="00E02EB3" w:rsidRPr="00E02EB3" w:rsidRDefault="00E02EB3" w:rsidP="00E02EB3"/>
    <w:p w:rsidR="00CC37C5" w:rsidRPr="00076700" w:rsidRDefault="00CC37C5" w:rsidP="00BF608B">
      <w:pPr>
        <w:pStyle w:val="Title"/>
        <w:spacing w:after="0"/>
        <w:rPr>
          <w:rFonts w:asciiTheme="minorHAnsi" w:hAnsiTheme="minorHAnsi" w:cstheme="minorHAnsi"/>
          <w:b/>
          <w:color w:val="auto"/>
          <w:sz w:val="24"/>
          <w:szCs w:val="24"/>
        </w:rPr>
      </w:pPr>
      <w:r w:rsidRPr="00076700">
        <w:rPr>
          <w:rFonts w:asciiTheme="minorHAnsi" w:hAnsiTheme="minorHAnsi" w:cstheme="minorHAnsi"/>
          <w:b/>
          <w:color w:val="auto"/>
          <w:sz w:val="24"/>
          <w:szCs w:val="24"/>
        </w:rPr>
        <w:t xml:space="preserve">DETAILED OUTLINE OF CLASS SESSIONS </w:t>
      </w:r>
    </w:p>
    <w:p w:rsidR="00DF7A77" w:rsidRPr="00076700" w:rsidRDefault="00DF7A77" w:rsidP="00BF608B">
      <w:pPr>
        <w:spacing w:after="0" w:line="240" w:lineRule="auto"/>
        <w:contextualSpacing/>
        <w:jc w:val="center"/>
        <w:rPr>
          <w:rStyle w:val="IntenseEmphasis"/>
          <w:rFonts w:cstheme="minorHAnsi"/>
          <w:b w:val="0"/>
          <w:color w:val="auto"/>
          <w:sz w:val="24"/>
          <w:szCs w:val="24"/>
        </w:rPr>
      </w:pPr>
    </w:p>
    <w:tbl>
      <w:tblPr>
        <w:tblStyle w:val="LightList-Accent11"/>
        <w:tblW w:w="11260" w:type="dxa"/>
        <w:jc w:val="center"/>
        <w:tblBorders>
          <w:insideH w:val="single" w:sz="6" w:space="0" w:color="4F81BD" w:themeColor="accent1"/>
          <w:insideV w:val="single" w:sz="6" w:space="0" w:color="4F81BD" w:themeColor="accent1"/>
        </w:tblBorders>
        <w:shd w:val="clear" w:color="auto" w:fill="B8CCE4" w:themeFill="accent1" w:themeFillTint="66"/>
        <w:tblLayout w:type="fixed"/>
        <w:tblLook w:val="0000" w:firstRow="0" w:lastRow="0" w:firstColumn="0" w:lastColumn="0" w:noHBand="0" w:noVBand="0"/>
      </w:tblPr>
      <w:tblGrid>
        <w:gridCol w:w="440"/>
        <w:gridCol w:w="1080"/>
        <w:gridCol w:w="1710"/>
        <w:gridCol w:w="1620"/>
        <w:gridCol w:w="2880"/>
        <w:gridCol w:w="3530"/>
      </w:tblGrid>
      <w:tr w:rsidR="00ED373C" w:rsidRPr="00076700" w:rsidTr="00817A0D">
        <w:trPr>
          <w:trHeight w:val="525"/>
          <w:tblHeader/>
          <w:jc w:val="center"/>
        </w:trPr>
        <w:tc>
          <w:tcPr>
            <w:cnfStyle w:val="000010000000" w:firstRow="0" w:lastRow="0" w:firstColumn="0" w:lastColumn="0" w:oddVBand="1" w:evenVBand="0" w:oddHBand="0" w:evenHBand="0" w:firstRowFirstColumn="0" w:firstRowLastColumn="0" w:lastRowFirstColumn="0" w:lastRowLastColumn="0"/>
            <w:tcW w:w="440" w:type="dxa"/>
            <w:vMerge w:val="restart"/>
            <w:shd w:val="clear" w:color="auto" w:fill="B8CCE4" w:themeFill="accent1" w:themeFillTint="66"/>
            <w:vAlign w:val="center"/>
          </w:tcPr>
          <w:p w:rsidR="00ED373C" w:rsidRPr="00076700" w:rsidRDefault="00ED373C" w:rsidP="00BF608B">
            <w:pPr>
              <w:contextualSpacing/>
              <w:jc w:val="center"/>
              <w:rPr>
                <w:b/>
                <w:sz w:val="24"/>
                <w:szCs w:val="24"/>
              </w:rPr>
            </w:pPr>
            <w:r>
              <w:rPr>
                <w:b/>
                <w:sz w:val="24"/>
                <w:szCs w:val="24"/>
              </w:rPr>
              <w:t>#</w:t>
            </w:r>
          </w:p>
        </w:tc>
        <w:tc>
          <w:tcPr>
            <w:tcW w:w="1080" w:type="dxa"/>
            <w:vMerge w:val="restart"/>
            <w:shd w:val="clear" w:color="auto" w:fill="B8CCE4" w:themeFill="accent1" w:themeFillTint="66"/>
            <w:vAlign w:val="center"/>
          </w:tcPr>
          <w:p w:rsidR="00ED373C" w:rsidRPr="00076700" w:rsidRDefault="00ED373C" w:rsidP="00BF608B">
            <w:pPr>
              <w:contextualSpacing/>
              <w:jc w:val="center"/>
              <w:cnfStyle w:val="000000000000" w:firstRow="0" w:lastRow="0" w:firstColumn="0" w:lastColumn="0" w:oddVBand="0" w:evenVBand="0" w:oddHBand="0" w:evenHBand="0" w:firstRowFirstColumn="0" w:firstRowLastColumn="0" w:lastRowFirstColumn="0" w:lastRowLastColumn="0"/>
              <w:rPr>
                <w:rStyle w:val="Strong"/>
                <w:sz w:val="24"/>
                <w:szCs w:val="24"/>
              </w:rPr>
            </w:pPr>
            <w:r>
              <w:rPr>
                <w:rStyle w:val="Strong"/>
                <w:sz w:val="24"/>
                <w:szCs w:val="24"/>
              </w:rPr>
              <w:t>Date</w:t>
            </w:r>
          </w:p>
        </w:tc>
        <w:tc>
          <w:tcPr>
            <w:cnfStyle w:val="000010000000" w:firstRow="0" w:lastRow="0" w:firstColumn="0" w:lastColumn="0" w:oddVBand="1" w:evenVBand="0" w:oddHBand="0" w:evenHBand="0" w:firstRowFirstColumn="0" w:firstRowLastColumn="0" w:lastRowFirstColumn="0" w:lastRowLastColumn="0"/>
            <w:tcW w:w="1710" w:type="dxa"/>
            <w:vMerge w:val="restart"/>
            <w:shd w:val="clear" w:color="auto" w:fill="B8CCE4" w:themeFill="accent1" w:themeFillTint="66"/>
            <w:vAlign w:val="center"/>
          </w:tcPr>
          <w:p w:rsidR="00ED373C" w:rsidRPr="00076700" w:rsidRDefault="00ED373C" w:rsidP="00BF608B">
            <w:pPr>
              <w:contextualSpacing/>
              <w:jc w:val="center"/>
              <w:rPr>
                <w:sz w:val="24"/>
                <w:szCs w:val="24"/>
              </w:rPr>
            </w:pPr>
            <w:r>
              <w:rPr>
                <w:rStyle w:val="Strong"/>
                <w:sz w:val="24"/>
                <w:szCs w:val="24"/>
              </w:rPr>
              <w:t>Topic</w:t>
            </w:r>
          </w:p>
        </w:tc>
        <w:tc>
          <w:tcPr>
            <w:tcW w:w="4500" w:type="dxa"/>
            <w:gridSpan w:val="2"/>
            <w:tcBorders>
              <w:bottom w:val="single" w:sz="4" w:space="0" w:color="4F81BD" w:themeColor="accent1"/>
            </w:tcBorders>
            <w:shd w:val="clear" w:color="auto" w:fill="B8CCE4" w:themeFill="accent1" w:themeFillTint="66"/>
            <w:vAlign w:val="center"/>
          </w:tcPr>
          <w:p w:rsidR="00ED373C" w:rsidRPr="00076700" w:rsidRDefault="00ED373C" w:rsidP="00BF608B">
            <w:pPr>
              <w:contextualSpacing/>
              <w:jc w:val="center"/>
              <w:cnfStyle w:val="000000000000" w:firstRow="0" w:lastRow="0" w:firstColumn="0" w:lastColumn="0" w:oddVBand="0" w:evenVBand="0" w:oddHBand="0" w:evenHBand="0" w:firstRowFirstColumn="0" w:firstRowLastColumn="0" w:lastRowFirstColumn="0" w:lastRowLastColumn="0"/>
              <w:rPr>
                <w:b/>
                <w:sz w:val="24"/>
                <w:szCs w:val="24"/>
              </w:rPr>
            </w:pPr>
            <w:r w:rsidRPr="00076700">
              <w:rPr>
                <w:b/>
                <w:sz w:val="24"/>
                <w:szCs w:val="24"/>
              </w:rPr>
              <w:t>Readings</w:t>
            </w:r>
          </w:p>
        </w:tc>
        <w:tc>
          <w:tcPr>
            <w:cnfStyle w:val="000010000000" w:firstRow="0" w:lastRow="0" w:firstColumn="0" w:lastColumn="0" w:oddVBand="1" w:evenVBand="0" w:oddHBand="0" w:evenHBand="0" w:firstRowFirstColumn="0" w:firstRowLastColumn="0" w:lastRowFirstColumn="0" w:lastRowLastColumn="0"/>
            <w:tcW w:w="3530" w:type="dxa"/>
            <w:vMerge w:val="restart"/>
            <w:shd w:val="clear" w:color="auto" w:fill="B8CCE4" w:themeFill="accent1" w:themeFillTint="66"/>
            <w:vAlign w:val="center"/>
          </w:tcPr>
          <w:p w:rsidR="00ED373C" w:rsidRPr="00076700" w:rsidRDefault="00ED373C" w:rsidP="00BF608B">
            <w:pPr>
              <w:contextualSpacing/>
              <w:jc w:val="center"/>
              <w:rPr>
                <w:sz w:val="24"/>
                <w:szCs w:val="24"/>
              </w:rPr>
            </w:pPr>
            <w:r>
              <w:rPr>
                <w:b/>
                <w:sz w:val="24"/>
                <w:szCs w:val="24"/>
              </w:rPr>
              <w:t>Assignment/Case</w:t>
            </w:r>
            <w:r w:rsidRPr="00076700">
              <w:rPr>
                <w:b/>
                <w:sz w:val="24"/>
                <w:szCs w:val="24"/>
              </w:rPr>
              <w:t xml:space="preserve"> Due</w:t>
            </w:r>
          </w:p>
        </w:tc>
      </w:tr>
      <w:tr w:rsidR="00ED373C" w:rsidRPr="00076700" w:rsidTr="00817A0D">
        <w:trPr>
          <w:trHeight w:val="420"/>
          <w:tblHeader/>
          <w:jc w:val="center"/>
        </w:trPr>
        <w:tc>
          <w:tcPr>
            <w:cnfStyle w:val="000010000000" w:firstRow="0" w:lastRow="0" w:firstColumn="0" w:lastColumn="0" w:oddVBand="1" w:evenVBand="0" w:oddHBand="0" w:evenHBand="0" w:firstRowFirstColumn="0" w:firstRowLastColumn="0" w:lastRowFirstColumn="0" w:lastRowLastColumn="0"/>
            <w:tcW w:w="440" w:type="dxa"/>
            <w:vMerge/>
            <w:shd w:val="clear" w:color="auto" w:fill="B8CCE4" w:themeFill="accent1" w:themeFillTint="66"/>
            <w:vAlign w:val="center"/>
          </w:tcPr>
          <w:p w:rsidR="00ED373C" w:rsidRDefault="00ED373C" w:rsidP="00BF608B">
            <w:pPr>
              <w:contextualSpacing/>
              <w:jc w:val="center"/>
              <w:rPr>
                <w:b/>
                <w:sz w:val="24"/>
                <w:szCs w:val="24"/>
              </w:rPr>
            </w:pPr>
          </w:p>
        </w:tc>
        <w:tc>
          <w:tcPr>
            <w:tcW w:w="1080" w:type="dxa"/>
            <w:vMerge/>
            <w:shd w:val="clear" w:color="auto" w:fill="B8CCE4" w:themeFill="accent1" w:themeFillTint="66"/>
            <w:vAlign w:val="center"/>
          </w:tcPr>
          <w:p w:rsidR="00ED373C" w:rsidRDefault="00ED373C" w:rsidP="00BF608B">
            <w:pPr>
              <w:contextualSpacing/>
              <w:jc w:val="center"/>
              <w:cnfStyle w:val="000000000000" w:firstRow="0" w:lastRow="0" w:firstColumn="0" w:lastColumn="0" w:oddVBand="0" w:evenVBand="0" w:oddHBand="0" w:evenHBand="0" w:firstRowFirstColumn="0" w:firstRowLastColumn="0" w:lastRowFirstColumn="0" w:lastRowLastColumn="0"/>
              <w:rPr>
                <w:rStyle w:val="Strong"/>
                <w:sz w:val="24"/>
                <w:szCs w:val="24"/>
              </w:rPr>
            </w:pPr>
          </w:p>
        </w:tc>
        <w:tc>
          <w:tcPr>
            <w:cnfStyle w:val="000010000000" w:firstRow="0" w:lastRow="0" w:firstColumn="0" w:lastColumn="0" w:oddVBand="1" w:evenVBand="0" w:oddHBand="0" w:evenHBand="0" w:firstRowFirstColumn="0" w:firstRowLastColumn="0" w:lastRowFirstColumn="0" w:lastRowLastColumn="0"/>
            <w:tcW w:w="1710" w:type="dxa"/>
            <w:vMerge/>
            <w:shd w:val="clear" w:color="auto" w:fill="B8CCE4" w:themeFill="accent1" w:themeFillTint="66"/>
            <w:vAlign w:val="center"/>
          </w:tcPr>
          <w:p w:rsidR="00ED373C" w:rsidRDefault="00ED373C" w:rsidP="00BF608B">
            <w:pPr>
              <w:contextualSpacing/>
              <w:jc w:val="center"/>
              <w:rPr>
                <w:rStyle w:val="Strong"/>
                <w:sz w:val="24"/>
                <w:szCs w:val="24"/>
              </w:rPr>
            </w:pPr>
          </w:p>
        </w:tc>
        <w:tc>
          <w:tcPr>
            <w:tcW w:w="1620" w:type="dxa"/>
            <w:tcBorders>
              <w:top w:val="single" w:sz="4" w:space="0" w:color="4F81BD" w:themeColor="accent1"/>
              <w:right w:val="single" w:sz="4" w:space="0" w:color="4F81BD" w:themeColor="accent1"/>
            </w:tcBorders>
            <w:shd w:val="clear" w:color="auto" w:fill="B8CCE4" w:themeFill="accent1" w:themeFillTint="66"/>
            <w:vAlign w:val="center"/>
          </w:tcPr>
          <w:p w:rsidR="00ED373C" w:rsidRPr="00076700" w:rsidRDefault="00ED373C" w:rsidP="00BF608B">
            <w:pPr>
              <w:contextualSpacing/>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Textbook</w:t>
            </w:r>
          </w:p>
        </w:tc>
        <w:tc>
          <w:tcPr>
            <w:cnfStyle w:val="000010000000" w:firstRow="0" w:lastRow="0" w:firstColumn="0" w:lastColumn="0" w:oddVBand="1" w:evenVBand="0" w:oddHBand="0" w:evenHBand="0" w:firstRowFirstColumn="0" w:firstRowLastColumn="0" w:lastRowFirstColumn="0" w:lastRowLastColumn="0"/>
            <w:tcW w:w="2880" w:type="dxa"/>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vAlign w:val="center"/>
          </w:tcPr>
          <w:p w:rsidR="00ED373C" w:rsidRPr="00076700" w:rsidRDefault="00ED373C" w:rsidP="00BF608B">
            <w:pPr>
              <w:contextualSpacing/>
              <w:jc w:val="center"/>
              <w:rPr>
                <w:b/>
                <w:sz w:val="24"/>
                <w:szCs w:val="24"/>
              </w:rPr>
            </w:pPr>
            <w:r>
              <w:rPr>
                <w:b/>
                <w:sz w:val="24"/>
                <w:szCs w:val="24"/>
              </w:rPr>
              <w:t>Canvas</w:t>
            </w:r>
          </w:p>
        </w:tc>
        <w:tc>
          <w:tcPr>
            <w:tcW w:w="3530" w:type="dxa"/>
            <w:vMerge/>
            <w:tcBorders>
              <w:left w:val="single" w:sz="4" w:space="0" w:color="4F81BD" w:themeColor="accent1"/>
            </w:tcBorders>
            <w:shd w:val="clear" w:color="auto" w:fill="B8CCE4" w:themeFill="accent1" w:themeFillTint="66"/>
            <w:vAlign w:val="center"/>
          </w:tcPr>
          <w:p w:rsidR="00ED373C" w:rsidRDefault="00ED373C" w:rsidP="00BF608B">
            <w:pPr>
              <w:contextualSpacing/>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rPr>
                <w:sz w:val="24"/>
                <w:szCs w:val="24"/>
              </w:rPr>
            </w:pPr>
            <w:r w:rsidRPr="004E3987">
              <w:rPr>
                <w:b/>
              </w:rPr>
              <w:t>1 </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Pr>
                <w:b/>
              </w:rPr>
              <w:t>8/31/17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sz w:val="24"/>
                <w:szCs w:val="24"/>
              </w:rPr>
            </w:pPr>
            <w:r w:rsidRPr="004E3987">
              <w:rPr>
                <w:b/>
              </w:rPr>
              <w:t>Introduction. Discussion of perspectives on portfolio management. Review of mandates. Assignment of teams and mandates.</w:t>
            </w:r>
          </w:p>
        </w:tc>
        <w:tc>
          <w:tcPr>
            <w:tcW w:w="1620" w:type="dxa"/>
            <w:tcBorders>
              <w:right w:val="single" w:sz="4" w:space="0" w:color="4F81BD" w:themeColor="accent1"/>
            </w:tcBorders>
            <w:shd w:val="clear" w:color="auto" w:fill="auto"/>
          </w:tcPr>
          <w:p w:rsidR="00E02EB3" w:rsidRPr="00076700" w:rsidRDefault="00E02EB3" w:rsidP="00E02EB3">
            <w:pPr>
              <w:ind w:hanging="30"/>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Ang Chapter 1</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right w:val="single" w:sz="4" w:space="0" w:color="4F81BD" w:themeColor="accent1"/>
            </w:tcBorders>
            <w:shd w:val="clear" w:color="auto" w:fill="auto"/>
          </w:tcPr>
          <w:p w:rsidR="00E02EB3" w:rsidRPr="00076700" w:rsidRDefault="00E02EB3" w:rsidP="00E02EB3">
            <w:pPr>
              <w:ind w:hanging="30"/>
              <w:contextualSpacing/>
              <w:rPr>
                <w:sz w:val="24"/>
                <w:szCs w:val="24"/>
              </w:rPr>
            </w:pPr>
            <w:r w:rsidRPr="004E3987">
              <w:t> </w:t>
            </w:r>
            <w:r w:rsidR="00FA71AA">
              <w:t>Mandate Matrix</w:t>
            </w:r>
          </w:p>
        </w:tc>
        <w:tc>
          <w:tcPr>
            <w:tcW w:w="3530" w:type="dxa"/>
            <w:tcBorders>
              <w:lef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Review the mandate matrix in the syllabus (above).  This explains the projects your will spend the rest of the semester working on.  You will not necessarily get your first choice, so look through all of them.</w:t>
            </w:r>
            <w:r>
              <w:t xml:space="preserve">  Fill out the four questions about yourself as well.</w:t>
            </w:r>
          </w:p>
        </w:tc>
      </w:tr>
      <w:tr w:rsidR="00E02EB3" w:rsidRPr="00076700" w:rsidTr="00817A0D">
        <w:trPr>
          <w:trHeight w:val="52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2</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Pr>
                <w:b/>
              </w:rPr>
              <w:t>9/05/17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FA71AA" w:rsidRDefault="00E02EB3" w:rsidP="00FA71AA">
            <w:pPr>
              <w:pStyle w:val="NoSpacing"/>
              <w:rPr>
                <w:b/>
              </w:rPr>
            </w:pPr>
            <w:r w:rsidRPr="004E3987">
              <w:rPr>
                <w:b/>
              </w:rPr>
              <w:t xml:space="preserve">Overview of </w:t>
            </w:r>
            <w:r>
              <w:rPr>
                <w:b/>
              </w:rPr>
              <w:t xml:space="preserve">Bloomberg </w:t>
            </w:r>
            <w:r w:rsidRPr="004E3987">
              <w:rPr>
                <w:b/>
              </w:rPr>
              <w:t>portfo</w:t>
            </w:r>
            <w:r>
              <w:rPr>
                <w:b/>
              </w:rPr>
              <w:t>lio management tools</w:t>
            </w:r>
            <w:r w:rsidR="00FA71AA">
              <w:rPr>
                <w:b/>
              </w:rPr>
              <w:t xml:space="preserve"> with</w:t>
            </w:r>
            <w:r>
              <w:rPr>
                <w:b/>
              </w:rPr>
              <w:t xml:space="preserve"> </w:t>
            </w:r>
            <w:r w:rsidR="00780272">
              <w:rPr>
                <w:b/>
              </w:rPr>
              <w:t xml:space="preserve">a Bloomberg representative and </w:t>
            </w:r>
            <w:r>
              <w:rPr>
                <w:b/>
              </w:rPr>
              <w:t>Steven Fortney</w:t>
            </w:r>
          </w:p>
        </w:tc>
        <w:tc>
          <w:tcPr>
            <w:tcW w:w="1620" w:type="dxa"/>
            <w:tcBorders>
              <w:right w:val="single" w:sz="4" w:space="0" w:color="4F81BD" w:themeColor="accent1"/>
            </w:tcBorders>
            <w:shd w:val="clear" w:color="auto" w:fill="auto"/>
          </w:tcPr>
          <w:p w:rsidR="00E02EB3" w:rsidRPr="00076700" w:rsidRDefault="00E02EB3" w:rsidP="00E02EB3">
            <w:pPr>
              <w:ind w:hanging="30"/>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ind w:hanging="30"/>
              <w:contextualSpacing/>
              <w:rPr>
                <w:sz w:val="24"/>
                <w:szCs w:val="24"/>
              </w:rPr>
            </w:pPr>
            <w:r>
              <w:t>Bloomberg learning materials (see Bloomberg folder)</w:t>
            </w:r>
          </w:p>
        </w:tc>
        <w:tc>
          <w:tcPr>
            <w:tcW w:w="3530" w:type="dxa"/>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Nothing due.</w:t>
            </w:r>
            <w:r>
              <w:t xml:space="preserve"> </w:t>
            </w:r>
            <w:r w:rsidRPr="004E3987">
              <w:t> You should have met with your team for plann</w:t>
            </w:r>
            <w:r>
              <w:t>ing purposes outside of class. </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3 </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Pr>
                <w:b/>
              </w:rPr>
              <w:t>9/07/17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Default="00E02EB3" w:rsidP="00E02EB3">
            <w:pPr>
              <w:pStyle w:val="NoSpacing"/>
              <w:rPr>
                <w:b/>
              </w:rPr>
            </w:pPr>
            <w:r w:rsidRPr="004E3987">
              <w:rPr>
                <w:b/>
              </w:rPr>
              <w:t>Portfolio missions and clients. How managers/mandates fulfil missions.</w:t>
            </w:r>
          </w:p>
          <w:p w:rsidR="00E02EB3" w:rsidRDefault="00E02EB3" w:rsidP="00E02EB3">
            <w:pPr>
              <w:pStyle w:val="NoSpacing"/>
              <w:rPr>
                <w:b/>
              </w:rPr>
            </w:pPr>
          </w:p>
          <w:p w:rsidR="00E02EB3" w:rsidRPr="00076700" w:rsidRDefault="00E02EB3" w:rsidP="00E02EB3">
            <w:pPr>
              <w:contextualSpacing/>
              <w:rPr>
                <w:sz w:val="24"/>
                <w:szCs w:val="24"/>
              </w:rPr>
            </w:pPr>
            <w:r>
              <w:rPr>
                <w:b/>
              </w:rPr>
              <w:t>Case: UAW VEBA</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Ang Chapters 2-5 over the next two weeks.   A fresh perspective on financial theory.</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E75E6F" w:rsidRDefault="00E02EB3" w:rsidP="00E02EB3">
            <w:pPr>
              <w:rPr>
                <w:b/>
                <w:u w:val="single"/>
              </w:rPr>
            </w:pPr>
            <w:r w:rsidRPr="00E75E6F">
              <w:rPr>
                <w:b/>
                <w:u w:val="single"/>
              </w:rPr>
              <w:t xml:space="preserve">Case Discussion: </w:t>
            </w:r>
          </w:p>
          <w:p w:rsidR="00E02EB3" w:rsidRPr="00E75E6F" w:rsidRDefault="00E02EB3" w:rsidP="00E02EB3">
            <w:pPr>
              <w:rPr>
                <w:b/>
              </w:rPr>
            </w:pPr>
            <w:r w:rsidRPr="00E75E6F">
              <w:rPr>
                <w:b/>
              </w:rPr>
              <w:t>UAW VEBA</w:t>
            </w:r>
          </w:p>
          <w:p w:rsidR="00E02EB3" w:rsidRDefault="00540244" w:rsidP="00E02EB3">
            <w:pPr>
              <w:rPr>
                <w:color w:val="1F497D"/>
              </w:rPr>
            </w:pPr>
            <w:hyperlink r:id="rId15" w:history="1">
              <w:r w:rsidR="00E02EB3">
                <w:rPr>
                  <w:rStyle w:val="Hyperlink"/>
                </w:rPr>
                <w:t>http://vol09.cases.som.yale.edu/uaw-veba</w:t>
              </w:r>
            </w:hyperlink>
            <w:r w:rsidR="00E02EB3">
              <w:rPr>
                <w:color w:val="1F497D"/>
              </w:rPr>
              <w:t xml:space="preserve"> </w:t>
            </w:r>
          </w:p>
          <w:p w:rsidR="00E02EB3" w:rsidRPr="00780272" w:rsidRDefault="00780272" w:rsidP="00E02EB3">
            <w:pPr>
              <w:rPr>
                <w:i/>
              </w:rPr>
            </w:pPr>
            <w:r w:rsidRPr="00780272">
              <w:rPr>
                <w:i/>
              </w:rPr>
              <w:t xml:space="preserve">*Log in using your </w:t>
            </w:r>
            <w:proofErr w:type="spellStart"/>
            <w:r w:rsidRPr="00780272">
              <w:rPr>
                <w:i/>
              </w:rPr>
              <w:t>netID</w:t>
            </w:r>
            <w:proofErr w:type="spellEnd"/>
            <w:r w:rsidRPr="00780272">
              <w:rPr>
                <w:i/>
              </w:rPr>
              <w:t xml:space="preserve"> and password.</w:t>
            </w:r>
          </w:p>
          <w:p w:rsidR="00E02EB3" w:rsidRPr="00254895" w:rsidRDefault="00E02EB3" w:rsidP="00E02EB3">
            <w:pPr>
              <w:rPr>
                <w:i/>
                <w:color w:val="1F497D"/>
              </w:rPr>
            </w:pPr>
          </w:p>
          <w:p w:rsidR="00E02EB3" w:rsidRPr="00076700" w:rsidRDefault="00E02EB3" w:rsidP="00E02EB3">
            <w:pPr>
              <w:contextualSpacing/>
              <w:rPr>
                <w:sz w:val="24"/>
                <w:szCs w:val="24"/>
              </w:rPr>
            </w:pPr>
            <w:r>
              <w:t>Come prepared to discuss how you would invest to meet the VEBA mandated return.</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rPr>
                <w:b/>
              </w:rPr>
              <w:t xml:space="preserve">Assignment Due. </w:t>
            </w:r>
            <w:r>
              <w:rPr>
                <w:b/>
              </w:rPr>
              <w:t xml:space="preserve"> </w:t>
            </w:r>
            <w:r w:rsidRPr="004E3987">
              <w:rPr>
                <w:b/>
              </w:rPr>
              <w:t>Security screening.</w:t>
            </w:r>
            <w:r w:rsidRPr="004E3987">
              <w:t>  Perform a screen via Bloomberg of securities that are consistent with your mandate or comparable funds/ETFs that match your mandate.  If you screen on funds, choose one of these and list the securities they hold.</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br/>
              <w:t>Note that your team may not have settled on a clear strategy to implement your mandate.  That is fine.  This assignment is intended to get you familiar with the tools methodological approaches to building portfolios.</w:t>
            </w:r>
          </w:p>
          <w:p w:rsidR="00E02EB3" w:rsidRDefault="00E02EB3" w:rsidP="00E02EB3">
            <w:pPr>
              <w:pStyle w:val="NoSpacing"/>
              <w:cnfStyle w:val="000000100000" w:firstRow="0" w:lastRow="0" w:firstColumn="0" w:lastColumn="0" w:oddVBand="0" w:evenVBand="0" w:oddHBand="1" w:evenHBand="0" w:firstRowFirstColumn="0" w:firstRowLastColumn="0" w:lastRowFirstColumn="0" w:lastRowLastColumn="0"/>
            </w:pPr>
            <w:r>
              <w:br/>
              <w:t>Turn in</w:t>
            </w:r>
            <w:r w:rsidRPr="004E3987">
              <w:t xml:space="preserve"> slides (5 max) that indi</w:t>
            </w:r>
            <w:r>
              <w:t>cate:</w:t>
            </w:r>
          </w:p>
          <w:p w:rsidR="00E02EB3" w:rsidRPr="004E3987" w:rsidRDefault="00E02EB3" w:rsidP="00E02EB3">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t>Y</w:t>
            </w:r>
            <w:r w:rsidRPr="004E3987">
              <w:t xml:space="preserve">our mandate </w:t>
            </w:r>
          </w:p>
          <w:p w:rsidR="00E02EB3" w:rsidRPr="004E3987" w:rsidRDefault="00E02EB3" w:rsidP="00E02EB3">
            <w:pPr>
              <w:pStyle w:val="NoSpacing"/>
              <w:numPr>
                <w:ilvl w:val="0"/>
                <w:numId w:val="14"/>
              </w:numPr>
              <w:cnfStyle w:val="000000100000" w:firstRow="0" w:lastRow="0" w:firstColumn="0" w:lastColumn="0" w:oddVBand="0" w:evenVBand="0" w:oddHBand="1" w:evenHBand="0" w:firstRowFirstColumn="0" w:firstRowLastColumn="0" w:lastRowFirstColumn="0" w:lastRowLastColumn="0"/>
            </w:pPr>
            <w:r w:rsidRPr="004E3987">
              <w:t xml:space="preserve">How you related this to the challenge of security screening: how it worked and what problems you foresee if any. </w:t>
            </w:r>
          </w:p>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A list or sample of securities with some of their characteristics: ticker, name, price, capitalization/industry, P/E, or other ratios.</w:t>
            </w:r>
          </w:p>
        </w:tc>
      </w:tr>
      <w:tr w:rsidR="00E02EB3" w:rsidRPr="00076700" w:rsidTr="00817A0D">
        <w:trPr>
          <w:trHeight w:val="448"/>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4</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Pr>
                <w:b/>
              </w:rPr>
              <w:t>9/12/17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Default="00E02EB3" w:rsidP="00E02EB3">
            <w:pPr>
              <w:pStyle w:val="NoSpacing"/>
              <w:rPr>
                <w:b/>
              </w:rPr>
            </w:pPr>
            <w:r w:rsidRPr="004E3987">
              <w:rPr>
                <w:b/>
              </w:rPr>
              <w:t xml:space="preserve">Long-only Portfolios. Active vs. </w:t>
            </w:r>
            <w:r>
              <w:rPr>
                <w:b/>
              </w:rPr>
              <w:t>Passive: Factors vs. S</w:t>
            </w:r>
            <w:r w:rsidRPr="004E3987">
              <w:rPr>
                <w:b/>
              </w:rPr>
              <w:t>kill</w:t>
            </w:r>
          </w:p>
          <w:p w:rsidR="00E02EB3" w:rsidRPr="00076700" w:rsidRDefault="00E02EB3" w:rsidP="00E02EB3">
            <w:pPr>
              <w:contextualSpacing/>
              <w:rPr>
                <w:sz w:val="24"/>
                <w:szCs w:val="24"/>
              </w:rPr>
            </w:pPr>
            <w:r>
              <w:rPr>
                <w:b/>
              </w:rPr>
              <w:t>Case discussion</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pPr>
            <w:r>
              <w:t>Osman Nalbantoglu</w:t>
            </w:r>
          </w:p>
          <w:p w:rsidR="00E02EB3" w:rsidRDefault="00E02EB3" w:rsidP="00E02EB3">
            <w:pPr>
              <w:pStyle w:val="NoSpacing"/>
            </w:pPr>
          </w:p>
          <w:p w:rsidR="00E02EB3" w:rsidRPr="00076700" w:rsidRDefault="00E02EB3" w:rsidP="00E02EB3">
            <w:pPr>
              <w:contextualSpacing/>
              <w:rPr>
                <w:sz w:val="24"/>
                <w:szCs w:val="24"/>
              </w:rPr>
            </w:pPr>
          </w:p>
        </w:tc>
        <w:tc>
          <w:tcPr>
            <w:tcW w:w="3530" w:type="dxa"/>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Come prepared with discussion about a</w:t>
            </w:r>
            <w:r>
              <w:t>ctive vs. passive investing.</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5</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Pr>
                <w:b/>
              </w:rPr>
              <w:t>9/14/17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sz w:val="24"/>
                <w:szCs w:val="24"/>
              </w:rPr>
            </w:pPr>
            <w:r>
              <w:rPr>
                <w:b/>
              </w:rPr>
              <w:t>Screening and Product development</w:t>
            </w:r>
            <w:r w:rsidRPr="004E3987">
              <w:rPr>
                <w:b/>
              </w:rPr>
              <w:t xml:space="preserve">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rPr>
                <w:color w:val="1F497D"/>
              </w:rPr>
            </w:pPr>
            <w:r w:rsidRPr="00E75E6F">
              <w:rPr>
                <w:b/>
                <w:u w:val="single"/>
              </w:rPr>
              <w:t xml:space="preserve">Case Discussion: </w:t>
            </w:r>
            <w:r w:rsidRPr="00E75E6F">
              <w:rPr>
                <w:b/>
              </w:rPr>
              <w:t>Low-Carbon Investing</w:t>
            </w:r>
          </w:p>
          <w:p w:rsidR="00E02EB3" w:rsidRDefault="00540244" w:rsidP="00E02EB3">
            <w:pPr>
              <w:rPr>
                <w:color w:val="1F497D"/>
              </w:rPr>
            </w:pPr>
            <w:hyperlink r:id="rId16" w:history="1">
              <w:r w:rsidR="00E02EB3">
                <w:rPr>
                  <w:rStyle w:val="Hyperlink"/>
                </w:rPr>
                <w:t>http://vol11.cases.som.yale.edu/low-carbon-investing</w:t>
              </w:r>
            </w:hyperlink>
            <w:r w:rsidR="00E02EB3">
              <w:rPr>
                <w:color w:val="1F497D"/>
              </w:rPr>
              <w:t xml:space="preserve"> </w:t>
            </w:r>
          </w:p>
          <w:p w:rsidR="00E02EB3" w:rsidRPr="00780272" w:rsidRDefault="00780272" w:rsidP="00E02EB3">
            <w:pPr>
              <w:rPr>
                <w:i/>
              </w:rPr>
            </w:pPr>
            <w:r w:rsidRPr="00780272">
              <w:rPr>
                <w:i/>
              </w:rPr>
              <w:lastRenderedPageBreak/>
              <w:t xml:space="preserve">*Log in using your </w:t>
            </w:r>
            <w:proofErr w:type="spellStart"/>
            <w:r w:rsidRPr="00780272">
              <w:rPr>
                <w:i/>
              </w:rPr>
              <w:t>netID</w:t>
            </w:r>
            <w:proofErr w:type="spellEnd"/>
            <w:r w:rsidRPr="00780272">
              <w:rPr>
                <w:i/>
              </w:rPr>
              <w:t xml:space="preserve"> and password.</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rPr>
                <w:b/>
              </w:rPr>
            </w:pPr>
            <w:r w:rsidRPr="004E3987">
              <w:rPr>
                <w:b/>
              </w:rPr>
              <w:lastRenderedPageBreak/>
              <w:t xml:space="preserve">Assignment Due. First Portfolio.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xml:space="preserve">Prepare and submit 5 </w:t>
            </w:r>
            <w:r>
              <w:t>PowerPoint slides</w:t>
            </w:r>
            <w:r w:rsidRPr="004E3987">
              <w:t xml:space="preserve">. These should contain: </w:t>
            </w:r>
          </w:p>
          <w:p w:rsidR="00E02EB3" w:rsidRPr="004E3987" w:rsidRDefault="00E02EB3" w:rsidP="00E02EB3">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4E3987">
              <w:t>Your mandate.</w:t>
            </w:r>
          </w:p>
          <w:p w:rsidR="00E02EB3" w:rsidRPr="004E3987" w:rsidRDefault="00E02EB3" w:rsidP="00E02EB3">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4E3987">
              <w:lastRenderedPageBreak/>
              <w:t>Your planned strategy to meet it.</w:t>
            </w:r>
          </w:p>
          <w:p w:rsidR="00E02EB3" w:rsidRPr="004E3987" w:rsidRDefault="00E02EB3" w:rsidP="00E02EB3">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t>Sample securities</w:t>
            </w:r>
            <w:r w:rsidRPr="004E3987">
              <w:t xml:space="preserve"> or list.</w:t>
            </w:r>
          </w:p>
          <w:p w:rsidR="00E02EB3" w:rsidRDefault="00E02EB3" w:rsidP="00E02EB3">
            <w:pPr>
              <w:contextualSpacing/>
              <w:cnfStyle w:val="000000100000" w:firstRow="0" w:lastRow="0" w:firstColumn="0" w:lastColumn="0" w:oddVBand="0" w:evenVBand="0" w:oddHBand="1" w:evenHBand="0" w:firstRowFirstColumn="0" w:firstRowLastColumn="0" w:lastRowFirstColumn="0" w:lastRowLastColumn="0"/>
            </w:pPr>
            <w:r w:rsidRPr="004E3987">
              <w:t>Pie chart allocation and graphics.</w:t>
            </w:r>
          </w:p>
          <w:p w:rsidR="00CA5ECE" w:rsidRDefault="00CA5ECE" w:rsidP="00E02EB3">
            <w:pPr>
              <w:contextualSpacing/>
              <w:cnfStyle w:val="000000100000" w:firstRow="0" w:lastRow="0" w:firstColumn="0" w:lastColumn="0" w:oddVBand="0" w:evenVBand="0" w:oddHBand="1" w:evenHBand="0" w:firstRowFirstColumn="0" w:firstRowLastColumn="0" w:lastRowFirstColumn="0" w:lastRowLastColumn="0"/>
            </w:pPr>
          </w:p>
          <w:p w:rsidR="00CA5ECE" w:rsidRPr="00CA5ECE" w:rsidRDefault="00CA5ECE"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CA5ECE">
              <w:rPr>
                <w:b/>
              </w:rPr>
              <w:t>Group 1 Presentation.</w:t>
            </w:r>
          </w:p>
        </w:tc>
      </w:tr>
      <w:tr w:rsidR="00E02EB3" w:rsidRPr="00076700" w:rsidTr="00817A0D">
        <w:trPr>
          <w:trHeight w:val="493"/>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6</w:t>
            </w:r>
          </w:p>
        </w:tc>
        <w:tc>
          <w:tcPr>
            <w:tcW w:w="1080" w:type="dxa"/>
          </w:tcPr>
          <w:p w:rsidR="00E02EB3" w:rsidRPr="00E02EB3" w:rsidRDefault="00E02EB3" w:rsidP="00E02E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E02EB3">
              <w:rPr>
                <w:b/>
              </w:rPr>
              <w:t>9/19</w:t>
            </w:r>
            <w:r>
              <w:rPr>
                <w:b/>
              </w:rPr>
              <w:t>/</w:t>
            </w:r>
            <w:r w:rsidRPr="00E02EB3">
              <w:rPr>
                <w:b/>
              </w:rPr>
              <w:t>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E02EB3" w:rsidRDefault="00E02EB3" w:rsidP="00E02EB3">
            <w:pPr>
              <w:widowControl w:val="0"/>
              <w:autoSpaceDE w:val="0"/>
              <w:autoSpaceDN w:val="0"/>
              <w:adjustRightInd w:val="0"/>
              <w:rPr>
                <w:sz w:val="24"/>
                <w:szCs w:val="24"/>
              </w:rPr>
            </w:pPr>
            <w:r w:rsidRPr="00E02EB3">
              <w:rPr>
                <w:b/>
              </w:rPr>
              <w:t>Discussion: Portfolio optimization models and analytics. Diversification, factor exposures, forecasting – limits of analytical models and their use in practice.</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Ang Chapters 6-7, 10, 16 &amp; 17 over the next two weeks.</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296F93">
              <w:t>Osman Nalbantoglu</w:t>
            </w:r>
          </w:p>
        </w:tc>
        <w:tc>
          <w:tcPr>
            <w:tcW w:w="3530" w:type="dxa"/>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Come prepared with questions about analytical models of portfolio optimization and construction, forecasting of investment returns.</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7</w:t>
            </w:r>
          </w:p>
        </w:tc>
        <w:tc>
          <w:tcPr>
            <w:tcW w:w="1080" w:type="dxa"/>
          </w:tcPr>
          <w:p w:rsidR="00E02EB3" w:rsidRPr="00E02EB3" w:rsidRDefault="00E02EB3" w:rsidP="00E02E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b/>
              </w:rPr>
              <w:t>9/21/</w:t>
            </w:r>
            <w:r w:rsidRPr="00E02EB3">
              <w:rPr>
                <w:b/>
              </w:rPr>
              <w:t>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E02EB3" w:rsidRDefault="00E02EB3" w:rsidP="00E02EB3">
            <w:pPr>
              <w:widowControl w:val="0"/>
              <w:autoSpaceDE w:val="0"/>
              <w:autoSpaceDN w:val="0"/>
              <w:adjustRightInd w:val="0"/>
              <w:rPr>
                <w:sz w:val="24"/>
                <w:szCs w:val="24"/>
              </w:rPr>
            </w:pPr>
            <w:r w:rsidRPr="00E02EB3">
              <w:rPr>
                <w:b/>
              </w:rPr>
              <w:t>Discussion. Value investing Comparative advantage, industry expertise, sources of alpha, return horizon, styles of value.</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C06F92">
              <w:rPr>
                <w:b/>
                <w:u w:val="single"/>
              </w:rPr>
              <w:t>Guest Speaker:</w:t>
            </w:r>
            <w:r w:rsidRPr="00C06F92">
              <w:rPr>
                <w:b/>
                <w:u w:val="single"/>
              </w:rPr>
              <w:br/>
            </w:r>
            <w:r w:rsidRPr="004E3987">
              <w:t xml:space="preserve">Lisa Howie, Yale Investment Office </w:t>
            </w:r>
            <w:hyperlink r:id="rId17" w:tgtFrame="_parent" w:history="1">
              <w:r w:rsidRPr="004E3987">
                <w:rPr>
                  <w:color w:val="0000FF"/>
                  <w:u w:val="single"/>
                </w:rPr>
                <w:t>http://investments.yale.edu/yio-staff-main-page/2015/11/15/lisa-m-howie</w:t>
              </w:r>
            </w:hyperlink>
          </w:p>
        </w:tc>
        <w:tc>
          <w:tcPr>
            <w:tcW w:w="3530" w:type="dxa"/>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Come prepared to discuss value investing.</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 xml:space="preserve">8 </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9/26/17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 xml:space="preserve">Academic </w:t>
            </w:r>
            <w:r>
              <w:rPr>
                <w:b/>
              </w:rPr>
              <w:t xml:space="preserve">foundation for mandate. </w:t>
            </w:r>
            <w:r w:rsidRPr="004E3987">
              <w:rPr>
                <w:b/>
              </w:rPr>
              <w:t>Theories and evidence for your strategy.</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rPr>
                <w:color w:val="1F497D"/>
              </w:rPr>
            </w:pPr>
            <w:r w:rsidRPr="00E75E6F">
              <w:rPr>
                <w:b/>
                <w:u w:val="single"/>
              </w:rPr>
              <w:t xml:space="preserve">Case Discussion: </w:t>
            </w:r>
            <w:r w:rsidRPr="00E75E6F">
              <w:rPr>
                <w:b/>
              </w:rPr>
              <w:t>Factor Investing for Retirement</w:t>
            </w:r>
          </w:p>
          <w:p w:rsidR="00E02EB3" w:rsidRDefault="00540244" w:rsidP="00E02EB3">
            <w:pPr>
              <w:pStyle w:val="NoSpacing"/>
              <w:rPr>
                <w:rStyle w:val="Hyperlink"/>
              </w:rPr>
            </w:pPr>
            <w:hyperlink r:id="rId18" w:history="1">
              <w:r w:rsidR="00E02EB3">
                <w:rPr>
                  <w:rStyle w:val="Hyperlink"/>
                </w:rPr>
                <w:t>http://vol11.cases.som.yale.edu/factor-investing-retirement</w:t>
              </w:r>
            </w:hyperlink>
          </w:p>
          <w:p w:rsidR="00E02EB3" w:rsidRPr="00780272" w:rsidRDefault="00780272" w:rsidP="00E02EB3">
            <w:pPr>
              <w:rPr>
                <w:i/>
              </w:rPr>
            </w:pPr>
            <w:r w:rsidRPr="00780272">
              <w:rPr>
                <w:i/>
              </w:rPr>
              <w:t xml:space="preserve">*Log in using your </w:t>
            </w:r>
            <w:proofErr w:type="spellStart"/>
            <w:r w:rsidRPr="00780272">
              <w:rPr>
                <w:i/>
              </w:rPr>
              <w:t>netID</w:t>
            </w:r>
            <w:proofErr w:type="spellEnd"/>
            <w:r w:rsidRPr="00780272">
              <w:rPr>
                <w:i/>
              </w:rPr>
              <w:t xml:space="preserve"> and password.</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sidRPr="004E3987">
              <w:rPr>
                <w:b/>
              </w:rPr>
              <w:t>Assignment Due. Value Proposition. </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t>PowerPoints or paper write-up</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p>
          <w:p w:rsidR="00E02EB3"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t xml:space="preserve">Present a well-researched, evidence-based rationale for the portfolio strategy based on peer-reviewed academic and practitioner journal articles and other evidence.  Cite at least 5 articles and, with 150 character captions, explain them in lay terms. </w:t>
            </w:r>
            <w:r w:rsidRPr="00DC1736">
              <w:t>POST THESE ON CANVAS</w:t>
            </w:r>
            <w:r w:rsidRPr="004E3987">
              <w:t xml:space="preserve"> usi</w:t>
            </w:r>
            <w:r>
              <w:t>ng standard bibliographic form.</w:t>
            </w:r>
          </w:p>
          <w:p w:rsidR="00E02EB3" w:rsidRDefault="00E02EB3" w:rsidP="00E02EB3">
            <w:pPr>
              <w:pStyle w:val="NoSpacing"/>
              <w:cnfStyle w:val="000000000000" w:firstRow="0" w:lastRow="0" w:firstColumn="0" w:lastColumn="0" w:oddVBand="0" w:evenVBand="0" w:oddHBand="0" w:evenHBand="0" w:firstRowFirstColumn="0" w:firstRowLastColumn="0" w:lastRowFirstColumn="0" w:lastRowLastColumn="0"/>
            </w:pPr>
          </w:p>
          <w:p w:rsidR="00E02EB3" w:rsidRPr="0065642F" w:rsidRDefault="00E02EB3" w:rsidP="00E02EB3">
            <w:pPr>
              <w:pStyle w:val="NoSpacing"/>
              <w:cnfStyle w:val="000000000000" w:firstRow="0" w:lastRow="0" w:firstColumn="0" w:lastColumn="0" w:oddVBand="0" w:evenVBand="0" w:oddHBand="0" w:evenHBand="0" w:firstRowFirstColumn="0" w:firstRowLastColumn="0" w:lastRowFirstColumn="0" w:lastRowLastColumn="0"/>
              <w:rPr>
                <w:b/>
                <w:i/>
                <w:u w:val="single"/>
              </w:rPr>
            </w:pPr>
            <w:r w:rsidRPr="0065642F">
              <w:rPr>
                <w:b/>
                <w:i/>
                <w:u w:val="single"/>
              </w:rPr>
              <w:t xml:space="preserve">For example: </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rPr>
                <w:rFonts w:cs="Arial"/>
                <w:color w:val="222222"/>
                <w:shd w:val="clear" w:color="auto" w:fill="FFFFFF"/>
              </w:rPr>
              <w:lastRenderedPageBreak/>
              <w:t xml:space="preserve">Goetzmann, William N., and </w:t>
            </w:r>
            <w:proofErr w:type="spellStart"/>
            <w:r w:rsidRPr="004E3987">
              <w:rPr>
                <w:rFonts w:cs="Arial"/>
                <w:color w:val="222222"/>
                <w:shd w:val="clear" w:color="auto" w:fill="FFFFFF"/>
              </w:rPr>
              <w:t>Alok</w:t>
            </w:r>
            <w:proofErr w:type="spellEnd"/>
            <w:r w:rsidRPr="004E3987">
              <w:rPr>
                <w:rFonts w:cs="Arial"/>
                <w:color w:val="222222"/>
                <w:shd w:val="clear" w:color="auto" w:fill="FFFFFF"/>
              </w:rPr>
              <w:t xml:space="preserve"> Kumar. "Equity portfolio diversification." </w:t>
            </w:r>
            <w:r w:rsidRPr="004E3987">
              <w:rPr>
                <w:rFonts w:cs="Arial"/>
                <w:i/>
                <w:iCs/>
                <w:color w:val="222222"/>
                <w:shd w:val="clear" w:color="auto" w:fill="FFFFFF"/>
              </w:rPr>
              <w:t>Review of Finance</w:t>
            </w:r>
            <w:r w:rsidRPr="004E3987">
              <w:rPr>
                <w:rFonts w:cs="Arial"/>
                <w:color w:val="222222"/>
                <w:shd w:val="clear" w:color="auto" w:fill="FFFFFF"/>
              </w:rPr>
              <w:t xml:space="preserve"> 12, no. 3 (2008): 433-463.  </w:t>
            </w:r>
            <w:r w:rsidRPr="004E3987">
              <w:rPr>
                <w:rFonts w:cs="Arial"/>
                <w:b/>
                <w:color w:val="222222"/>
                <w:shd w:val="clear" w:color="auto" w:fill="FFFFFF"/>
              </w:rPr>
              <w:t>The average retail stock portfolio is highly under-diversified and risky.  Investors typically hold 5 correlated stocks.</w:t>
            </w:r>
            <w:r w:rsidRPr="004E3987">
              <w:rPr>
                <w:rFonts w:cs="Arial"/>
                <w:color w:val="222222"/>
                <w:shd w:val="clear" w:color="auto" w:fill="FFFFFF"/>
              </w:rPr>
              <w:t xml:space="preserve"> </w:t>
            </w:r>
            <w:r w:rsidRPr="004E3987">
              <w:t> </w:t>
            </w:r>
          </w:p>
          <w:p w:rsidR="00E02EB3" w:rsidRDefault="00E02EB3" w:rsidP="00E02EB3">
            <w:pPr>
              <w:contextualSpacing/>
              <w:cnfStyle w:val="000000000000" w:firstRow="0" w:lastRow="0" w:firstColumn="0" w:lastColumn="0" w:oddVBand="0" w:evenVBand="0" w:oddHBand="0" w:evenHBand="0" w:firstRowFirstColumn="0" w:firstRowLastColumn="0" w:lastRowFirstColumn="0" w:lastRowLastColumn="0"/>
            </w:pPr>
            <w:r w:rsidRPr="004E3987">
              <w:br/>
              <w:t>Make the best logical argument for why and where your mandate can add value and what clientele might benefit from it. Explain what your organization needs to realize this value.</w:t>
            </w:r>
          </w:p>
          <w:p w:rsidR="00CA5ECE" w:rsidRDefault="00CA5ECE" w:rsidP="00E02EB3">
            <w:pPr>
              <w:contextualSpacing/>
              <w:cnfStyle w:val="000000000000" w:firstRow="0" w:lastRow="0" w:firstColumn="0" w:lastColumn="0" w:oddVBand="0" w:evenVBand="0" w:oddHBand="0" w:evenHBand="0" w:firstRowFirstColumn="0" w:firstRowLastColumn="0" w:lastRowFirstColumn="0" w:lastRowLastColumn="0"/>
            </w:pPr>
          </w:p>
          <w:p w:rsidR="00CA5ECE" w:rsidRPr="00CA5ECE" w:rsidRDefault="00CA5ECE"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sidRPr="00CA5ECE">
              <w:rPr>
                <w:b/>
              </w:rPr>
              <w:t>Group 2 Presentation.</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9</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9/28/17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817A0D" w:rsidRDefault="00E02EB3" w:rsidP="00E02EB3">
            <w:pPr>
              <w:contextualSpacing/>
              <w:rPr>
                <w:b/>
              </w:rPr>
            </w:pPr>
            <w:r>
              <w:rPr>
                <w:b/>
              </w:rPr>
              <w:t>Discussion:</w:t>
            </w:r>
          </w:p>
          <w:p w:rsidR="00E02EB3" w:rsidRPr="00076700" w:rsidRDefault="00E02EB3" w:rsidP="00E02EB3">
            <w:pPr>
              <w:contextualSpacing/>
              <w:rPr>
                <w:b/>
                <w:sz w:val="24"/>
                <w:szCs w:val="24"/>
              </w:rPr>
            </w:pPr>
            <w:r w:rsidRPr="004E3987">
              <w:rPr>
                <w:b/>
              </w:rPr>
              <w:t>Strategic environment</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296F93">
              <w:t>Osman Nalbantoglu</w:t>
            </w:r>
          </w:p>
        </w:tc>
        <w:tc>
          <w:tcPr>
            <w:tcW w:w="3530" w:type="dxa"/>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Come prepared to discuss topics related to innovation, competition and disintermediation in the investment industry.</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10</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10/03/17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Class presentations: competitor analysis</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296F93">
              <w:t>Osman Nalbantoglu</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Pr>
                <w:b/>
              </w:rPr>
              <w:t>Competitor analysis</w:t>
            </w:r>
            <w:r w:rsidRPr="004E3987">
              <w:rPr>
                <w:b/>
              </w:rPr>
              <w:t> </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t>PowerPoints</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t>Define your universe of competitors. Identify some leading funds or managers in your category.  How are they organized, how are their services delivered, how are they priced and how do they articulate their value to the investor?  What longer-term forces represent opportunities for and threats to your strategy, structure and profitability-SWOT analysis?</w:t>
            </w:r>
          </w:p>
          <w:p w:rsidR="00E02EB3" w:rsidRDefault="00E02EB3" w:rsidP="00E02EB3">
            <w:pPr>
              <w:contextualSpacing/>
              <w:cnfStyle w:val="000000000000" w:firstRow="0" w:lastRow="0" w:firstColumn="0" w:lastColumn="0" w:oddVBand="0" w:evenVBand="0" w:oddHBand="0" w:evenHBand="0" w:firstRowFirstColumn="0" w:firstRowLastColumn="0" w:lastRowFirstColumn="0" w:lastRowLastColumn="0"/>
            </w:pPr>
            <w:r w:rsidRPr="004E3987">
              <w:br/>
              <w:t>Compare your strategy to these competitors and assess how (or whether) you can compete.  This includes how you measure success.</w:t>
            </w:r>
          </w:p>
          <w:p w:rsidR="00CA5ECE" w:rsidRDefault="00CA5ECE" w:rsidP="00E02EB3">
            <w:pPr>
              <w:contextualSpacing/>
              <w:cnfStyle w:val="000000000000" w:firstRow="0" w:lastRow="0" w:firstColumn="0" w:lastColumn="0" w:oddVBand="0" w:evenVBand="0" w:oddHBand="0" w:evenHBand="0" w:firstRowFirstColumn="0" w:firstRowLastColumn="0" w:lastRowFirstColumn="0" w:lastRowLastColumn="0"/>
            </w:pPr>
          </w:p>
          <w:p w:rsidR="00CA5ECE" w:rsidRPr="00076700" w:rsidRDefault="00CA5ECE" w:rsidP="00CA5ECE">
            <w:pPr>
              <w:contextualSpacing/>
              <w:cnfStyle w:val="000000000000" w:firstRow="0" w:lastRow="0" w:firstColumn="0" w:lastColumn="0" w:oddVBand="0" w:evenVBand="0" w:oddHBand="0" w:evenHBand="0" w:firstRowFirstColumn="0" w:firstRowLastColumn="0" w:lastRowFirstColumn="0" w:lastRowLastColumn="0"/>
              <w:rPr>
                <w:sz w:val="24"/>
                <w:szCs w:val="24"/>
              </w:rPr>
            </w:pPr>
            <w:r>
              <w:rPr>
                <w:b/>
              </w:rPr>
              <w:t>Groups 3 &amp; 4</w:t>
            </w:r>
            <w:r w:rsidRPr="00CA5ECE">
              <w:rPr>
                <w:b/>
              </w:rPr>
              <w:t xml:space="preserve"> Presentation</w:t>
            </w:r>
            <w:r>
              <w:rPr>
                <w:b/>
              </w:rPr>
              <w:t>s</w:t>
            </w:r>
            <w:r w:rsidRPr="00CA5ECE">
              <w:rPr>
                <w:b/>
              </w:rPr>
              <w:t>.</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11</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10/05/17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Discussion: Investment Personnel &amp; Teams</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rPr>
                <w:b/>
                <w:u w:val="single"/>
              </w:rPr>
            </w:pPr>
            <w:r w:rsidRPr="00C06F92">
              <w:rPr>
                <w:b/>
                <w:u w:val="single"/>
              </w:rPr>
              <w:t>Guest Speaker:</w:t>
            </w:r>
          </w:p>
          <w:p w:rsidR="00E02EB3" w:rsidRPr="00C06F92" w:rsidRDefault="00E02EB3" w:rsidP="00E02EB3">
            <w:pPr>
              <w:pStyle w:val="NoSpacing"/>
            </w:pPr>
            <w:r>
              <w:t>Myra Drucker, Board of Trustees, Financial Accounting Foundation</w:t>
            </w:r>
          </w:p>
          <w:p w:rsidR="00E02EB3" w:rsidRPr="00076700" w:rsidRDefault="00540244" w:rsidP="00E02EB3">
            <w:pPr>
              <w:contextualSpacing/>
              <w:rPr>
                <w:sz w:val="24"/>
                <w:szCs w:val="24"/>
              </w:rPr>
            </w:pPr>
            <w:hyperlink r:id="rId19" w:tgtFrame="_parent" w:history="1">
              <w:r w:rsidR="00E02EB3" w:rsidRPr="004E3987">
                <w:rPr>
                  <w:color w:val="0000FF"/>
                  <w:u w:val="single"/>
                </w:rPr>
                <w:t>http://accountingfoundation.org/jsp/Foundation/Page/FAFSectionPage&amp;cid=1176164714927</w:t>
              </w:r>
            </w:hyperlink>
          </w:p>
        </w:tc>
        <w:tc>
          <w:tcPr>
            <w:tcW w:w="3530" w:type="dxa"/>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lastRenderedPageBreak/>
              <w:t xml:space="preserve">Come prepared to discuss the role of people in an investment organization.  What are the most important factors in hiring? </w:t>
            </w:r>
            <w:r>
              <w:t xml:space="preserve"> </w:t>
            </w:r>
            <w:r w:rsidRPr="004E3987">
              <w:t xml:space="preserve">How do </w:t>
            </w:r>
            <w:r w:rsidRPr="004E3987">
              <w:lastRenderedPageBreak/>
              <w:t xml:space="preserve">you assess performance?  How do you elicit ideas about investment, presentation, analysis, mistakes &amp; innovative possibilities?  How do you allocate tasks? </w:t>
            </w:r>
            <w:r>
              <w:t xml:space="preserve"> How do you give feedback?</w:t>
            </w:r>
            <w:r w:rsidRPr="004E3987">
              <w:t>  How does formality and informality, familiarity and privacy affect the investment workplace?</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12</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10/10/17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Pr>
                <w:b/>
              </w:rPr>
              <w:t>Case discussion: Bridgewater</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pPr>
            <w:r w:rsidRPr="00E75E6F">
              <w:rPr>
                <w:b/>
                <w:u w:val="single"/>
              </w:rPr>
              <w:t xml:space="preserve">Case Discussion: </w:t>
            </w:r>
            <w:r w:rsidRPr="00F22763">
              <w:rPr>
                <w:b/>
              </w:rPr>
              <w:t>Bridgewater</w:t>
            </w:r>
          </w:p>
          <w:p w:rsidR="00E02EB3" w:rsidRDefault="00E02EB3" w:rsidP="00E02EB3">
            <w:pPr>
              <w:pStyle w:val="NoSpacing"/>
            </w:pPr>
          </w:p>
          <w:p w:rsidR="00E02EB3" w:rsidRPr="00076700" w:rsidRDefault="00E02EB3" w:rsidP="00E02EB3">
            <w:pPr>
              <w:contextualSpacing/>
              <w:rPr>
                <w:sz w:val="24"/>
                <w:szCs w:val="24"/>
              </w:rPr>
            </w:pPr>
            <w:r w:rsidRPr="00296F93">
              <w:t>Osman Nalbantoglu</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sidRPr="004E3987">
              <w:rPr>
                <w:b/>
              </w:rPr>
              <w:t>Assig</w:t>
            </w:r>
            <w:r>
              <w:rPr>
                <w:b/>
              </w:rPr>
              <w:t>nment Due: Organization report</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t>Memo: 3 pages</w:t>
            </w:r>
            <w:r w:rsidRPr="004E3987">
              <w:br/>
            </w:r>
          </w:p>
          <w:p w:rsidR="00E02EB3" w:rsidRDefault="00E02EB3" w:rsidP="00E02EB3">
            <w:pPr>
              <w:contextualSpacing/>
              <w:cnfStyle w:val="000000000000" w:firstRow="0" w:lastRow="0" w:firstColumn="0" w:lastColumn="0" w:oddVBand="0" w:evenVBand="0" w:oddHBand="0" w:evenHBand="0" w:firstRowFirstColumn="0" w:firstRowLastColumn="0" w:lastRowFirstColumn="0" w:lastRowLastColumn="0"/>
            </w:pPr>
            <w:r w:rsidRPr="004E3987">
              <w:t>In li</w:t>
            </w:r>
            <w:r>
              <w:t>ght of team experience thus far</w:t>
            </w:r>
            <w:r w:rsidRPr="004E3987">
              <w:t xml:space="preserve"> consider the organization needed to staff this portfolio strategy effectively. What functions i.e. research, trading, compliance, marketing are needed and why?  How have you managed without a full staff?</w:t>
            </w:r>
          </w:p>
          <w:p w:rsidR="00CA5ECE" w:rsidRDefault="00CA5ECE" w:rsidP="00E02EB3">
            <w:pPr>
              <w:contextualSpacing/>
              <w:cnfStyle w:val="000000000000" w:firstRow="0" w:lastRow="0" w:firstColumn="0" w:lastColumn="0" w:oddVBand="0" w:evenVBand="0" w:oddHBand="0" w:evenHBand="0" w:firstRowFirstColumn="0" w:firstRowLastColumn="0" w:lastRowFirstColumn="0" w:lastRowLastColumn="0"/>
            </w:pPr>
          </w:p>
          <w:p w:rsidR="00CA5ECE" w:rsidRPr="00076700" w:rsidRDefault="00CA5ECE" w:rsidP="00CA5ECE">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CA5ECE">
              <w:rPr>
                <w:b/>
              </w:rPr>
              <w:t xml:space="preserve">Group </w:t>
            </w:r>
            <w:r>
              <w:rPr>
                <w:b/>
              </w:rPr>
              <w:t>5</w:t>
            </w:r>
            <w:r w:rsidRPr="00CA5ECE">
              <w:rPr>
                <w:b/>
              </w:rPr>
              <w:t xml:space="preserve"> Presentation.</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13</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10/12/17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Discussion: Market microstructure:  information, liquidity, competition.</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pPr>
            <w:r w:rsidRPr="00296F93">
              <w:t>Osman Nalbantoglu</w:t>
            </w:r>
          </w:p>
          <w:p w:rsidR="00E02EB3" w:rsidRDefault="00E02EB3" w:rsidP="00E02EB3">
            <w:pPr>
              <w:pStyle w:val="NoSpacing"/>
            </w:pPr>
          </w:p>
          <w:p w:rsidR="00E02EB3" w:rsidRPr="00FA71AA" w:rsidRDefault="00E02EB3" w:rsidP="00E02EB3">
            <w:pPr>
              <w:pStyle w:val="NoSpacing"/>
              <w:rPr>
                <w:b/>
              </w:rPr>
            </w:pPr>
            <w:r w:rsidRPr="00FA71AA">
              <w:rPr>
                <w:b/>
              </w:rPr>
              <w:t>Reading:</w:t>
            </w:r>
          </w:p>
          <w:p w:rsidR="00E02EB3" w:rsidRPr="00076700" w:rsidRDefault="00E02EB3" w:rsidP="00E02EB3">
            <w:pPr>
              <w:contextualSpacing/>
              <w:rPr>
                <w:sz w:val="24"/>
                <w:szCs w:val="24"/>
              </w:rPr>
            </w:pPr>
            <w:r w:rsidRPr="004E3987">
              <w:t>Easley, David, Marcos Lopez de Prado, and Maureen O'Hara. "The microstructure of the ‘Flash Crash’: Flow toxicity, liquidity crashes and the probability of informed trading." The Journal of Portfolio Management 37.2 (2011): 118-128.</w:t>
            </w:r>
          </w:p>
        </w:tc>
        <w:tc>
          <w:tcPr>
            <w:tcW w:w="3530" w:type="dxa"/>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Come prepared to discuss the securities markets in which your portfolios trade.  What is the role of information?  What are the various current sources of valuation information? What are the ways that quantitative variables are estimated?  What information is legal and ethical to use? How do you estimate transactions costs, different kinds of trading venues, execution times, capacity of strategies?</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14</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10/24/17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Class presentations: Trading and market analysis</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296F93">
              <w:t>Osman Nalbantoglu</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Pr>
                <w:b/>
              </w:rPr>
              <w:t>Assignment Due:</w:t>
            </w:r>
            <w:r w:rsidRPr="004E3987">
              <w:rPr>
                <w:b/>
              </w:rPr>
              <w:t xml:space="preserve"> Capacity, trading and markets report </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t>PowerPoints</w:t>
            </w:r>
            <w:r w:rsidRPr="004E3987">
              <w:t xml:space="preserve"> </w:t>
            </w:r>
            <w:r>
              <w:t>or memo</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br/>
              <w:t xml:space="preserve">Can your strategy be executed at a portfolio size of: $1 thousand, $10,000, $1 million, $1 billion, </w:t>
            </w:r>
            <w:proofErr w:type="gramStart"/>
            <w:r w:rsidRPr="004E3987">
              <w:t>$</w:t>
            </w:r>
            <w:proofErr w:type="gramEnd"/>
            <w:r w:rsidRPr="004E3987">
              <w:t>100 billion? </w:t>
            </w:r>
            <w:r w:rsidRPr="004E3987">
              <w:br/>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t xml:space="preserve">Can you supply intra-day, daily, monthly or annual purchase and </w:t>
            </w:r>
            <w:r w:rsidRPr="004E3987">
              <w:lastRenderedPageBreak/>
              <w:t>redemption liquidity to investors?   Estimate trading and execution costs. How many trades do you need to execute over a given month?  Is the bid-ask spread relevant?</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br/>
              <w:t>Does your strategy involve short-selling, options or futures positions? How are these financed and what additional market factors need to be considered?</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br/>
              <w:t xml:space="preserve">Identify and discuss any problematic events related to maintaining and trading your portfolio. These could be liquidity issues, timeliness, cut trades, exceeding bounds, responsibility issues, reactions to corporate events, market-wide events, analyst reports, personnel departure, etc. </w:t>
            </w:r>
          </w:p>
          <w:p w:rsidR="00E02EB3" w:rsidRDefault="00E02EB3" w:rsidP="00E02EB3">
            <w:pPr>
              <w:contextualSpacing/>
              <w:cnfStyle w:val="000000000000" w:firstRow="0" w:lastRow="0" w:firstColumn="0" w:lastColumn="0" w:oddVBand="0" w:evenVBand="0" w:oddHBand="0" w:evenHBand="0" w:firstRowFirstColumn="0" w:firstRowLastColumn="0" w:lastRowFirstColumn="0" w:lastRowLastColumn="0"/>
            </w:pPr>
            <w:r w:rsidRPr="004E3987">
              <w:br/>
              <w:t>What broke down over the week – either in trading or in reporting? What events or actions could cause severe losses or problems?</w:t>
            </w:r>
          </w:p>
          <w:p w:rsidR="00CA5ECE" w:rsidRDefault="00CA5ECE" w:rsidP="00E02EB3">
            <w:pPr>
              <w:contextualSpacing/>
              <w:cnfStyle w:val="000000000000" w:firstRow="0" w:lastRow="0" w:firstColumn="0" w:lastColumn="0" w:oddVBand="0" w:evenVBand="0" w:oddHBand="0" w:evenHBand="0" w:firstRowFirstColumn="0" w:firstRowLastColumn="0" w:lastRowFirstColumn="0" w:lastRowLastColumn="0"/>
            </w:pPr>
          </w:p>
          <w:p w:rsidR="00CA5ECE" w:rsidRPr="00076700" w:rsidRDefault="00CA5ECE" w:rsidP="00CA5ECE">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CA5ECE">
              <w:rPr>
                <w:b/>
              </w:rPr>
              <w:t xml:space="preserve">Group </w:t>
            </w:r>
            <w:r>
              <w:rPr>
                <w:b/>
              </w:rPr>
              <w:t>6</w:t>
            </w:r>
            <w:r w:rsidRPr="00CA5ECE">
              <w:rPr>
                <w:b/>
              </w:rPr>
              <w:t xml:space="preserve"> Presentation.</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15</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10/26/17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Performance Metrics. Portfolio benchmarks &amp; performance measurement: Alpha, beta, information ratio, timing metrics, relative performance.</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pPr>
            <w:proofErr w:type="spellStart"/>
            <w:r w:rsidRPr="004E3987">
              <w:t>Grinold</w:t>
            </w:r>
            <w:proofErr w:type="spellEnd"/>
            <w:r w:rsidRPr="004E3987">
              <w:t>, Richard C. "The fundamental law of active management." </w:t>
            </w:r>
            <w:r w:rsidRPr="004E3987">
              <w:rPr>
                <w:i/>
                <w:iCs/>
              </w:rPr>
              <w:t>The Journal of Portfolio Management</w:t>
            </w:r>
            <w:r w:rsidRPr="004E3987">
              <w:t> 15.3 (1989): 30-37.</w:t>
            </w:r>
          </w:p>
          <w:p w:rsidR="00E02EB3" w:rsidRPr="004E3987" w:rsidRDefault="00E02EB3" w:rsidP="00E02EB3">
            <w:pPr>
              <w:pStyle w:val="NoSpacing"/>
            </w:pPr>
          </w:p>
          <w:p w:rsidR="00E02EB3" w:rsidRPr="00076700" w:rsidRDefault="00E02EB3" w:rsidP="00E02EB3">
            <w:pPr>
              <w:contextualSpacing/>
              <w:rPr>
                <w:sz w:val="24"/>
                <w:szCs w:val="24"/>
              </w:rPr>
            </w:pPr>
            <w:r w:rsidRPr="004E3987">
              <w:t xml:space="preserve">Le </w:t>
            </w:r>
            <w:proofErr w:type="spellStart"/>
            <w:r w:rsidRPr="004E3987">
              <w:t>Sourd</w:t>
            </w:r>
            <w:proofErr w:type="spellEnd"/>
            <w:r w:rsidRPr="004E3987">
              <w:t xml:space="preserve">, </w:t>
            </w:r>
            <w:proofErr w:type="spellStart"/>
            <w:r w:rsidRPr="004E3987">
              <w:t>Véronique</w:t>
            </w:r>
            <w:proofErr w:type="spellEnd"/>
            <w:r w:rsidRPr="004E3987">
              <w:t>. "Performance measurement for traditional investment." Financial Analysts Journal 58.4 (2007): 36-52.  [Section 8]</w:t>
            </w:r>
          </w:p>
        </w:tc>
        <w:tc>
          <w:tcPr>
            <w:tcW w:w="3530" w:type="dxa"/>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Come prepared to discuss performance metrics as they apply in practice and how to use them.</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16</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10/31/17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Performance Metrics 2: Attribution analysis</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Default="00E02EB3" w:rsidP="00E02EB3">
            <w:pPr>
              <w:pStyle w:val="NoSpacing"/>
            </w:pPr>
            <w:r w:rsidRPr="00296F93">
              <w:t>Osman Nalbantoglu</w:t>
            </w:r>
          </w:p>
          <w:p w:rsidR="00E02EB3" w:rsidRDefault="00E02EB3" w:rsidP="00E02EB3">
            <w:pPr>
              <w:pStyle w:val="NoSpacing"/>
            </w:pPr>
          </w:p>
          <w:p w:rsidR="00E02EB3" w:rsidRPr="00076700" w:rsidRDefault="00E02EB3" w:rsidP="00E02EB3">
            <w:pPr>
              <w:contextualSpacing/>
              <w:rPr>
                <w:sz w:val="24"/>
                <w:szCs w:val="24"/>
              </w:rPr>
            </w:pPr>
            <w:r w:rsidRPr="004E3987">
              <w:t xml:space="preserve">Sharpe, William F. "Asset allocation: Management style and performance </w:t>
            </w:r>
            <w:r w:rsidRPr="004E3987">
              <w:lastRenderedPageBreak/>
              <w:t>measurement." The Journal of Portfolio Management 18.2 (1992): 7-19.</w:t>
            </w:r>
          </w:p>
        </w:tc>
        <w:tc>
          <w:tcPr>
            <w:tcW w:w="3530" w:type="dxa"/>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17</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11/02/17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Class presentations: performance report</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4E3987">
              <w:t> </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Pr>
                <w:b/>
              </w:rPr>
              <w:t>Assignment Due:</w:t>
            </w:r>
            <w:r w:rsidRPr="004E3987">
              <w:rPr>
                <w:b/>
              </w:rPr>
              <w:t xml:space="preserve"> Performance Report</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t>PowerPoints and/or paper write-up</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xml:space="preserve">Performance measured by standard risk metrics applicable to your investment style.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Include:</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r w:rsidRPr="004E3987">
              <w:t>Peer quartiles [this requires identifying a universe of competitors. Morningstar Direct software may be useful here]</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r w:rsidRPr="004E3987">
              <w:t>CAPM Alpha</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r w:rsidRPr="004E3987">
              <w:t xml:space="preserve">Sharpe ratio </w:t>
            </w:r>
            <w:r w:rsidRPr="004E3987">
              <w:br/>
              <w:t>Information ratio</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r w:rsidRPr="004E3987">
              <w:t>Factor exposure to relevant market indexes</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proofErr w:type="spellStart"/>
            <w:r w:rsidRPr="004E3987">
              <w:t>Fama</w:t>
            </w:r>
            <w:proofErr w:type="spellEnd"/>
            <w:r w:rsidRPr="004E3987">
              <w:t>-French factor benchmark (or similar), compared to your benchmark</w:t>
            </w:r>
          </w:p>
          <w:p w:rsidR="00E02EB3" w:rsidRPr="004E3987" w:rsidRDefault="00E02EB3" w:rsidP="00E02EB3">
            <w:pPr>
              <w:pStyle w:val="NoSpacing"/>
              <w:numPr>
                <w:ilvl w:val="0"/>
                <w:numId w:val="16"/>
              </w:numPr>
              <w:cnfStyle w:val="000000100000" w:firstRow="0" w:lastRow="0" w:firstColumn="0" w:lastColumn="0" w:oddVBand="0" w:evenVBand="0" w:oddHBand="1" w:evenHBand="0" w:firstRowFirstColumn="0" w:firstRowLastColumn="0" w:lastRowFirstColumn="0" w:lastRowLastColumn="0"/>
            </w:pPr>
            <w:r w:rsidRPr="004E3987">
              <w:t xml:space="preserve">Tracking error timing measure: use the </w:t>
            </w:r>
            <w:proofErr w:type="spellStart"/>
            <w:r w:rsidRPr="004E3987">
              <w:t>Henriksson</w:t>
            </w:r>
            <w:proofErr w:type="spellEnd"/>
            <w:r w:rsidRPr="004E3987">
              <w:t xml:space="preserve">- Merton, </w:t>
            </w:r>
            <w:proofErr w:type="spellStart"/>
            <w:r w:rsidRPr="004E3987">
              <w:t>Treynor</w:t>
            </w:r>
            <w:proofErr w:type="spellEnd"/>
            <w:r w:rsidRPr="004E3987">
              <w:t xml:space="preserve">- </w:t>
            </w:r>
            <w:proofErr w:type="spellStart"/>
            <w:r w:rsidRPr="004E3987">
              <w:t>Masuy</w:t>
            </w:r>
            <w:proofErr w:type="spellEnd"/>
            <w:r w:rsidRPr="004E3987">
              <w:t xml:space="preserve"> or </w:t>
            </w:r>
            <w:proofErr w:type="spellStart"/>
            <w:r w:rsidRPr="004E3987">
              <w:t>uncapture-downcapture</w:t>
            </w:r>
            <w:proofErr w:type="spellEnd"/>
            <w:r w:rsidRPr="004E3987">
              <w:t xml:space="preserve"> measures. </w:t>
            </w:r>
            <w:r w:rsidRPr="004E3987">
              <w:br/>
            </w:r>
          </w:p>
          <w:p w:rsidR="00E02EB3" w:rsidRDefault="00E02EB3" w:rsidP="00E02EB3">
            <w:pPr>
              <w:contextualSpacing/>
              <w:cnfStyle w:val="000000100000" w:firstRow="0" w:lastRow="0" w:firstColumn="0" w:lastColumn="0" w:oddVBand="0" w:evenVBand="0" w:oddHBand="1" w:evenHBand="0" w:firstRowFirstColumn="0" w:firstRowLastColumn="0" w:lastRowFirstColumn="0" w:lastRowLastColumn="0"/>
            </w:pPr>
            <w:r w:rsidRPr="004E3987">
              <w:t>Analyze what these tell you (in the short-term) about your portfolio.</w:t>
            </w:r>
          </w:p>
          <w:p w:rsidR="008761FB" w:rsidRDefault="008761FB" w:rsidP="00E02EB3">
            <w:pPr>
              <w:contextualSpacing/>
              <w:cnfStyle w:val="000000100000" w:firstRow="0" w:lastRow="0" w:firstColumn="0" w:lastColumn="0" w:oddVBand="0" w:evenVBand="0" w:oddHBand="1" w:evenHBand="0" w:firstRowFirstColumn="0" w:firstRowLastColumn="0" w:lastRowFirstColumn="0" w:lastRowLastColumn="0"/>
            </w:pPr>
          </w:p>
          <w:p w:rsidR="008761FB" w:rsidRPr="00076700" w:rsidRDefault="008761FB" w:rsidP="008761FB">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CA5ECE">
              <w:rPr>
                <w:b/>
              </w:rPr>
              <w:t>Group</w:t>
            </w:r>
            <w:r>
              <w:rPr>
                <w:b/>
              </w:rPr>
              <w:t>s</w:t>
            </w:r>
            <w:r w:rsidRPr="00CA5ECE">
              <w:rPr>
                <w:b/>
              </w:rPr>
              <w:t xml:space="preserve"> </w:t>
            </w:r>
            <w:r>
              <w:rPr>
                <w:b/>
              </w:rPr>
              <w:t>1 &amp; 2</w:t>
            </w:r>
            <w:r w:rsidRPr="00CA5ECE">
              <w:rPr>
                <w:b/>
              </w:rPr>
              <w:t xml:space="preserve"> Presentation</w:t>
            </w:r>
            <w:r>
              <w:rPr>
                <w:b/>
              </w:rPr>
              <w:t>s</w:t>
            </w:r>
            <w:r w:rsidRPr="00CA5ECE">
              <w:rPr>
                <w:b/>
              </w:rPr>
              <w:t>.</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18</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11/07/17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 xml:space="preserve">Building a business and understanding clients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p>
        </w:tc>
        <w:tc>
          <w:tcPr>
            <w:tcW w:w="3530" w:type="dxa"/>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Come prepared to discuss with launching an outsourced CIO investment company, building a team and a specific investment style, responding to competitive forces, understanding clients and managing client reporting.</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19</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11/09/17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 </w:t>
            </w:r>
            <w:r>
              <w:rPr>
                <w:b/>
              </w:rPr>
              <w:t>Client Presentation</w:t>
            </w:r>
            <w:r w:rsidR="00F92A20">
              <w:rPr>
                <w:b/>
              </w:rPr>
              <w:t xml:space="preserve"> &amp; Primer on Simulation and Bootstrapping </w:t>
            </w:r>
            <w:r w:rsidR="00F92A20">
              <w:rPr>
                <w:b/>
              </w:rPr>
              <w:lastRenderedPageBreak/>
              <w:t>and Value at Risk</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lastRenderedPageBreak/>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F92A20" w:rsidP="00E02EB3">
            <w:pPr>
              <w:contextualSpacing/>
              <w:rPr>
                <w:sz w:val="24"/>
                <w:szCs w:val="24"/>
              </w:rPr>
            </w:pPr>
            <w:r>
              <w:rPr>
                <w:sz w:val="24"/>
                <w:szCs w:val="24"/>
              </w:rPr>
              <w:t>Steven Fortney</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rPr>
                <w:b/>
              </w:rPr>
            </w:pPr>
            <w:r>
              <w:rPr>
                <w:b/>
              </w:rPr>
              <w:t>Assignment Due:</w:t>
            </w:r>
            <w:r w:rsidRPr="004E3987">
              <w:rPr>
                <w:b/>
              </w:rPr>
              <w:t xml:space="preserve"> Client presentation preparation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t>PowerPoints</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br/>
              <w:t>Consider:</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Purpose of the meeting.</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lastRenderedPageBreak/>
              <w:t>What your clients expect and deserve.</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What information is relevant to client decision-making?</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What do you need to know about the reasons for your performance?</w:t>
            </w:r>
          </w:p>
          <w:p w:rsidR="00E02EB3" w:rsidRPr="004E3987" w:rsidRDefault="00E02EB3" w:rsidP="00E02EB3">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rsidRPr="004E3987">
              <w:t>Markets</w:t>
            </w:r>
          </w:p>
          <w:p w:rsidR="00E02EB3" w:rsidRPr="008761FB" w:rsidRDefault="00E02EB3" w:rsidP="00E02EB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4"/>
                <w:szCs w:val="24"/>
              </w:rPr>
            </w:pPr>
            <w:r w:rsidRPr="00E02EB3">
              <w:t>Decisions you made</w:t>
            </w:r>
          </w:p>
          <w:p w:rsidR="008761FB" w:rsidRDefault="008761FB" w:rsidP="008761FB">
            <w:pPr>
              <w:cnfStyle w:val="000000100000" w:firstRow="0" w:lastRow="0" w:firstColumn="0" w:lastColumn="0" w:oddVBand="0" w:evenVBand="0" w:oddHBand="1" w:evenHBand="0" w:firstRowFirstColumn="0" w:firstRowLastColumn="0" w:lastRowFirstColumn="0" w:lastRowLastColumn="0"/>
              <w:rPr>
                <w:sz w:val="24"/>
                <w:szCs w:val="24"/>
              </w:rPr>
            </w:pPr>
          </w:p>
          <w:p w:rsidR="008761FB" w:rsidRPr="008761FB" w:rsidRDefault="008761FB" w:rsidP="008761FB">
            <w:pPr>
              <w:cnfStyle w:val="000000100000" w:firstRow="0" w:lastRow="0" w:firstColumn="0" w:lastColumn="0" w:oddVBand="0" w:evenVBand="0" w:oddHBand="1" w:evenHBand="0" w:firstRowFirstColumn="0" w:firstRowLastColumn="0" w:lastRowFirstColumn="0" w:lastRowLastColumn="0"/>
              <w:rPr>
                <w:sz w:val="24"/>
                <w:szCs w:val="24"/>
              </w:rPr>
            </w:pPr>
            <w:r w:rsidRPr="00CA5ECE">
              <w:rPr>
                <w:b/>
              </w:rPr>
              <w:t xml:space="preserve">Group </w:t>
            </w:r>
            <w:r>
              <w:rPr>
                <w:b/>
              </w:rPr>
              <w:t>3</w:t>
            </w:r>
            <w:r w:rsidRPr="00CA5ECE">
              <w:rPr>
                <w:b/>
              </w:rPr>
              <w:t xml:space="preserve"> Presentation.</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20</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11/14/17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F92A20" w:rsidP="00F92A20">
            <w:pPr>
              <w:contextualSpacing/>
              <w:rPr>
                <w:b/>
                <w:sz w:val="24"/>
                <w:szCs w:val="24"/>
              </w:rPr>
            </w:pPr>
            <w:r>
              <w:rPr>
                <w:b/>
              </w:rPr>
              <w:t xml:space="preserve">TBA or Modern quant methods in investment practice: data, sentiment analysis.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0818D4" w:rsidRDefault="00D27C08" w:rsidP="00E02EB3">
            <w:pPr>
              <w:contextualSpacing/>
              <w:rPr>
                <w:sz w:val="24"/>
                <w:szCs w:val="24"/>
              </w:rPr>
            </w:pPr>
            <w:r>
              <w:rPr>
                <w:sz w:val="24"/>
                <w:szCs w:val="24"/>
              </w:rPr>
              <w:t>Theory 56 Fact Sheet</w:t>
            </w:r>
            <w:r w:rsidR="000818D4">
              <w:rPr>
                <w:sz w:val="24"/>
                <w:szCs w:val="24"/>
              </w:rPr>
              <w:t xml:space="preserve">; </w:t>
            </w:r>
          </w:p>
          <w:p w:rsidR="000818D4" w:rsidRDefault="000818D4" w:rsidP="00E02EB3">
            <w:pPr>
              <w:contextualSpacing/>
              <w:rPr>
                <w:sz w:val="24"/>
                <w:szCs w:val="24"/>
              </w:rPr>
            </w:pPr>
          </w:p>
          <w:p w:rsidR="00E02EB3" w:rsidRPr="00076700" w:rsidRDefault="000818D4" w:rsidP="000818D4">
            <w:pPr>
              <w:contextualSpacing/>
              <w:rPr>
                <w:sz w:val="24"/>
                <w:szCs w:val="24"/>
              </w:rPr>
            </w:pPr>
            <w:proofErr w:type="spellStart"/>
            <w:r>
              <w:rPr>
                <w:sz w:val="24"/>
                <w:szCs w:val="24"/>
              </w:rPr>
              <w:t>Marcelle</w:t>
            </w:r>
            <w:proofErr w:type="spellEnd"/>
            <w:r>
              <w:rPr>
                <w:sz w:val="24"/>
                <w:szCs w:val="24"/>
              </w:rPr>
              <w:t xml:space="preserve"> </w:t>
            </w:r>
            <w:proofErr w:type="spellStart"/>
            <w:r>
              <w:rPr>
                <w:sz w:val="24"/>
                <w:szCs w:val="24"/>
              </w:rPr>
              <w:t>Chauvet</w:t>
            </w:r>
            <w:proofErr w:type="spellEnd"/>
            <w:r>
              <w:rPr>
                <w:sz w:val="24"/>
                <w:szCs w:val="24"/>
              </w:rPr>
              <w:t>, Stuart Gabriel, and Chandler Lutz. “Mortgage default risk: New evidence from internet search queries.” Journal of Urban Economics 96 (2016) pgs. 91-111.</w:t>
            </w:r>
          </w:p>
        </w:tc>
        <w:tc>
          <w:tcPr>
            <w:tcW w:w="3530" w:type="dxa"/>
            <w:shd w:val="clear" w:color="auto" w:fill="auto"/>
          </w:tcPr>
          <w:p w:rsidR="00E02EB3" w:rsidRPr="00076700" w:rsidRDefault="00E02EB3" w:rsidP="00F92A20">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xml:space="preserve">Come </w:t>
            </w:r>
            <w:r w:rsidR="00F92A20">
              <w:t>with questions about quant investing.</w:t>
            </w:r>
            <w:r w:rsidR="004B08CE">
              <w:t xml:space="preserve"> Read and come prepared to discuss Theory 56 memo.</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21</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11/16/17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Class presentations: Forecasting</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F92A20" w:rsidP="00E02EB3">
            <w:pPr>
              <w:contextualSpacing/>
              <w:rPr>
                <w:sz w:val="24"/>
                <w:szCs w:val="24"/>
              </w:rPr>
            </w:pPr>
            <w:r>
              <w:t>Elton, Gruber, Brown, Goetzmann. “Simulations in Portfolio Choice.” Modern Portfolio Theory and Investment Analysis, edition 9, pgs. 241-247.</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rPr>
                <w:b/>
              </w:rPr>
            </w:pPr>
            <w:r>
              <w:rPr>
                <w:b/>
              </w:rPr>
              <w:t>Assignment Due: Forecasting</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t>PowerPoints or paper report</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xml:space="preserve">Construct graphs of long-term forecasts of portfolio risk and return. What is the expected return of 1, 3, 5, 10 and 20 years out?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What are the confidence bands around this? What is the statistical probability the fund will beat its benchmark over the long term?</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xml:space="preserve">All mandates have some kind of implicit or explicit liability. </w:t>
            </w:r>
          </w:p>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pPr>
            <w:r w:rsidRPr="004E3987">
              <w:t> </w:t>
            </w:r>
          </w:p>
          <w:p w:rsidR="00E02EB3" w:rsidRPr="004E3987" w:rsidRDefault="00E02EB3" w:rsidP="00E02EB3">
            <w:pPr>
              <w:pStyle w:val="NoSpacing"/>
              <w:numPr>
                <w:ilvl w:val="0"/>
                <w:numId w:val="18"/>
              </w:numPr>
              <w:cnfStyle w:val="000000100000" w:firstRow="0" w:lastRow="0" w:firstColumn="0" w:lastColumn="0" w:oddVBand="0" w:evenVBand="0" w:oddHBand="1" w:evenHBand="0" w:firstRowFirstColumn="0" w:firstRowLastColumn="0" w:lastRowFirstColumn="0" w:lastRowLastColumn="0"/>
            </w:pPr>
            <w:r w:rsidRPr="004E3987">
              <w:t>Estimate a liability stream.</w:t>
            </w:r>
          </w:p>
          <w:p w:rsidR="00E02EB3" w:rsidRPr="004E3987" w:rsidRDefault="00E02EB3" w:rsidP="00E02EB3">
            <w:pPr>
              <w:pStyle w:val="NoSpacing"/>
              <w:numPr>
                <w:ilvl w:val="0"/>
                <w:numId w:val="18"/>
              </w:numPr>
              <w:cnfStyle w:val="000000100000" w:firstRow="0" w:lastRow="0" w:firstColumn="0" w:lastColumn="0" w:oddVBand="0" w:evenVBand="0" w:oddHBand="1" w:evenHBand="0" w:firstRowFirstColumn="0" w:firstRowLastColumn="0" w:lastRowFirstColumn="0" w:lastRowLastColumn="0"/>
            </w:pPr>
            <w:r w:rsidRPr="004E3987">
              <w:t xml:space="preserve">Consider what it is correlated to. </w:t>
            </w:r>
            <w:r w:rsidRPr="004E3987">
              <w:br/>
            </w:r>
          </w:p>
          <w:p w:rsidR="00E02EB3" w:rsidRDefault="00E02EB3" w:rsidP="00E02EB3">
            <w:pPr>
              <w:contextualSpacing/>
              <w:cnfStyle w:val="000000100000" w:firstRow="0" w:lastRow="0" w:firstColumn="0" w:lastColumn="0" w:oddVBand="0" w:evenVBand="0" w:oddHBand="1" w:evenHBand="0" w:firstRowFirstColumn="0" w:firstRowLastColumn="0" w:lastRowFirstColumn="0" w:lastRowLastColumn="0"/>
            </w:pPr>
            <w:r w:rsidRPr="004E3987">
              <w:t xml:space="preserve">Address how best to build a portfolio to hedge this. </w:t>
            </w:r>
          </w:p>
          <w:p w:rsidR="008761FB" w:rsidRDefault="008761FB" w:rsidP="00E02EB3">
            <w:pPr>
              <w:contextualSpacing/>
              <w:cnfStyle w:val="000000100000" w:firstRow="0" w:lastRow="0" w:firstColumn="0" w:lastColumn="0" w:oddVBand="0" w:evenVBand="0" w:oddHBand="1" w:evenHBand="0" w:firstRowFirstColumn="0" w:firstRowLastColumn="0" w:lastRowFirstColumn="0" w:lastRowLastColumn="0"/>
            </w:pPr>
          </w:p>
          <w:p w:rsidR="008761FB" w:rsidRPr="00076700" w:rsidRDefault="008761FB" w:rsidP="008761FB">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CA5ECE">
              <w:rPr>
                <w:b/>
              </w:rPr>
              <w:t xml:space="preserve">Group </w:t>
            </w:r>
            <w:r>
              <w:rPr>
                <w:b/>
              </w:rPr>
              <w:t>4</w:t>
            </w:r>
            <w:r w:rsidRPr="00CA5ECE">
              <w:rPr>
                <w:b/>
              </w:rPr>
              <w:t xml:space="preserve"> Presentation.</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22</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11/28/17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Pr>
                <w:b/>
              </w:rPr>
              <w:t xml:space="preserve">Case </w:t>
            </w:r>
            <w:r w:rsidRPr="004E3987">
              <w:rPr>
                <w:b/>
              </w:rPr>
              <w:t xml:space="preserve">Discussion: </w:t>
            </w:r>
            <w:r>
              <w:rPr>
                <w:b/>
              </w:rPr>
              <w:t xml:space="preserve"> LTCM (or TBA)</w:t>
            </w:r>
          </w:p>
        </w:tc>
        <w:tc>
          <w:tcPr>
            <w:tcW w:w="1620" w:type="dxa"/>
            <w:tcBorders>
              <w:right w:val="single" w:sz="4" w:space="0" w:color="4F81BD" w:themeColor="accent1"/>
            </w:tcBorders>
            <w:shd w:val="clear" w:color="auto" w:fill="auto"/>
          </w:tcPr>
          <w:p w:rsidR="00E02EB3" w:rsidRPr="00076700" w:rsidRDefault="00817A0D" w:rsidP="00817A0D">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817A0D">
              <w:rPr>
                <w:sz w:val="24"/>
                <w:szCs w:val="24"/>
              </w:rPr>
              <w:t xml:space="preserve">Lowenstein, Roger. </w:t>
            </w:r>
            <w:r w:rsidRPr="00817A0D">
              <w:rPr>
                <w:sz w:val="24"/>
                <w:szCs w:val="24"/>
                <w:u w:val="single"/>
              </w:rPr>
              <w:t xml:space="preserve">When </w:t>
            </w:r>
            <w:r w:rsidRPr="00817A0D">
              <w:rPr>
                <w:sz w:val="24"/>
                <w:szCs w:val="24"/>
                <w:u w:val="single"/>
              </w:rPr>
              <w:lastRenderedPageBreak/>
              <w:t xml:space="preserve">Genius </w:t>
            </w:r>
            <w:r>
              <w:rPr>
                <w:sz w:val="24"/>
                <w:szCs w:val="24"/>
                <w:u w:val="single"/>
              </w:rPr>
              <w:t>Failed: The Rise and Fall of Long-Term Capital Management</w:t>
            </w:r>
            <w:r w:rsidRPr="00817A0D">
              <w:rPr>
                <w:sz w:val="24"/>
                <w:szCs w:val="24"/>
              </w:rPr>
              <w:t xml:space="preserve">. </w:t>
            </w:r>
            <w:r>
              <w:rPr>
                <w:sz w:val="24"/>
                <w:szCs w:val="24"/>
              </w:rPr>
              <w:t xml:space="preserve"> (Book to be distributed in class if you do not own a copy)</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817A0D" w:rsidRDefault="00E02EB3" w:rsidP="00E02EB3">
            <w:pPr>
              <w:pStyle w:val="NoSpacing"/>
            </w:pPr>
            <w:r w:rsidRPr="00296F93">
              <w:lastRenderedPageBreak/>
              <w:t>Osman Nalbantoglu</w:t>
            </w:r>
          </w:p>
          <w:p w:rsidR="00817A0D" w:rsidRDefault="00817A0D" w:rsidP="00E02EB3">
            <w:pPr>
              <w:pStyle w:val="NoSpacing"/>
            </w:pPr>
          </w:p>
          <w:p w:rsidR="00817A0D" w:rsidRDefault="00817A0D" w:rsidP="00817A0D">
            <w:pPr>
              <w:pStyle w:val="NoSpacing"/>
              <w:numPr>
                <w:ilvl w:val="0"/>
                <w:numId w:val="22"/>
              </w:numPr>
            </w:pPr>
            <w:r>
              <w:lastRenderedPageBreak/>
              <w:t>Long-Term Capital Management, L.P. (A)</w:t>
            </w:r>
          </w:p>
          <w:p w:rsidR="00817A0D" w:rsidRDefault="00540244" w:rsidP="00817A0D">
            <w:pPr>
              <w:pStyle w:val="NoSpacing"/>
            </w:pPr>
            <w:hyperlink r:id="rId20" w:history="1">
              <w:r w:rsidRPr="00A15927">
                <w:rPr>
                  <w:rStyle w:val="Hyperlink"/>
                </w:rPr>
                <w:t>https://cb.hbsp.harvard.edu/cbmp/pl/70528854/71959694/157c1528bc4600012bebe0643c9af477</w:t>
              </w:r>
            </w:hyperlink>
            <w:r w:rsidR="00817A0D">
              <w:br/>
            </w:r>
          </w:p>
          <w:p w:rsidR="00817A0D" w:rsidRDefault="00817A0D" w:rsidP="00817A0D">
            <w:pPr>
              <w:pStyle w:val="NoSpacing"/>
              <w:numPr>
                <w:ilvl w:val="0"/>
                <w:numId w:val="22"/>
              </w:numPr>
            </w:pPr>
            <w:r>
              <w:t>Long-Term Capital Management, L.P. (A), Spreadsheet Supplement</w:t>
            </w:r>
          </w:p>
          <w:p w:rsidR="00817A0D" w:rsidRDefault="00817A0D" w:rsidP="00817A0D">
            <w:pPr>
              <w:pStyle w:val="NoSpacing"/>
            </w:pPr>
            <w:hyperlink r:id="rId21" w:history="1">
              <w:r w:rsidRPr="00A15927">
                <w:rPr>
                  <w:rStyle w:val="Hyperlink"/>
                </w:rPr>
                <w:t>https://cb.hbsp.harvard.edu/cbmp/pl/70528854/71959696/7400f21c7d5f11e79e9e2dbdcab6d1af</w:t>
              </w:r>
            </w:hyperlink>
            <w:r>
              <w:br/>
            </w:r>
          </w:p>
          <w:p w:rsidR="00817A0D" w:rsidRDefault="00817A0D" w:rsidP="00817A0D">
            <w:pPr>
              <w:pStyle w:val="NoSpacing"/>
              <w:numPr>
                <w:ilvl w:val="0"/>
                <w:numId w:val="22"/>
              </w:numPr>
            </w:pPr>
            <w:r>
              <w:t>Long-Term Capital Management, L.P. (B)</w:t>
            </w:r>
          </w:p>
          <w:p w:rsidR="00817A0D" w:rsidRDefault="00817A0D" w:rsidP="00817A0D">
            <w:pPr>
              <w:pStyle w:val="NoSpacing"/>
            </w:pPr>
            <w:hyperlink r:id="rId22" w:history="1">
              <w:r w:rsidRPr="00A15927">
                <w:rPr>
                  <w:rStyle w:val="Hyperlink"/>
                </w:rPr>
                <w:t>https://cb.hbsp.harvard.edu/cbmp/pl/70528854/71959732/a48eabdaf8959a614055352b6a035c48</w:t>
              </w:r>
            </w:hyperlink>
            <w:r>
              <w:br/>
            </w:r>
          </w:p>
          <w:p w:rsidR="00817A0D" w:rsidRDefault="00817A0D" w:rsidP="00817A0D">
            <w:pPr>
              <w:pStyle w:val="NoSpacing"/>
              <w:numPr>
                <w:ilvl w:val="0"/>
                <w:numId w:val="22"/>
              </w:numPr>
            </w:pPr>
            <w:r>
              <w:t>Long-Term Capital Management, L.P. (C)</w:t>
            </w:r>
          </w:p>
          <w:p w:rsidR="00817A0D" w:rsidRDefault="00817A0D" w:rsidP="00540244">
            <w:pPr>
              <w:pStyle w:val="NoSpacing"/>
            </w:pPr>
            <w:hyperlink r:id="rId23" w:history="1">
              <w:r w:rsidRPr="00A15927">
                <w:rPr>
                  <w:rStyle w:val="Hyperlink"/>
                </w:rPr>
                <w:t>https://cb.hbsp.harvard.edu/cbmp/pl/70528854/71959724/2a086f1137f27c1662d0c2c671c47099</w:t>
              </w:r>
            </w:hyperlink>
            <w:r>
              <w:br/>
            </w:r>
          </w:p>
          <w:p w:rsidR="00817A0D" w:rsidRDefault="00817A0D" w:rsidP="00817A0D">
            <w:pPr>
              <w:pStyle w:val="NoSpacing"/>
              <w:numPr>
                <w:ilvl w:val="0"/>
                <w:numId w:val="22"/>
              </w:numPr>
            </w:pPr>
            <w:r>
              <w:t>Long-Term Capital Management, L.P. (C), Spreadsheet Supplement</w:t>
            </w:r>
          </w:p>
          <w:p w:rsidR="00817A0D" w:rsidRDefault="00817A0D" w:rsidP="00540244">
            <w:pPr>
              <w:pStyle w:val="NoSpacing"/>
            </w:pPr>
            <w:hyperlink r:id="rId24" w:history="1">
              <w:r w:rsidRPr="00A15927">
                <w:rPr>
                  <w:rStyle w:val="Hyperlink"/>
                </w:rPr>
                <w:t>https://cb.hbsp.harvard.edu/cbmp/pl/70528854/71959726/b1722d954b7588fc656fdda1f715beea</w:t>
              </w:r>
            </w:hyperlink>
            <w:r>
              <w:br/>
            </w:r>
          </w:p>
          <w:p w:rsidR="00E02EB3" w:rsidRDefault="00817A0D" w:rsidP="00786FA3">
            <w:pPr>
              <w:pStyle w:val="NoSpacing"/>
              <w:numPr>
                <w:ilvl w:val="0"/>
                <w:numId w:val="22"/>
              </w:numPr>
            </w:pPr>
            <w:r>
              <w:t>Long-Term Capital Management, L.P. (D)</w:t>
            </w:r>
          </w:p>
          <w:bookmarkStart w:id="0" w:name="_GoBack"/>
          <w:bookmarkEnd w:id="0"/>
          <w:p w:rsidR="00E02EB3" w:rsidRPr="00817A0D" w:rsidRDefault="00817A0D" w:rsidP="00540244">
            <w:pPr>
              <w:pStyle w:val="NoSpacing"/>
            </w:pPr>
            <w:r>
              <w:fldChar w:fldCharType="begin"/>
            </w:r>
            <w:r>
              <w:instrText xml:space="preserve"> HYPERLINK "</w:instrText>
            </w:r>
            <w:r>
              <w:instrText>https://cb.hbsp.harvard.edu/cbmp/pl/70528854/71959734/a16ebb4c656463128e5477ac66b3d191</w:instrText>
            </w:r>
            <w:r>
              <w:instrText xml:space="preserve">" </w:instrText>
            </w:r>
            <w:r>
              <w:fldChar w:fldCharType="separate"/>
            </w:r>
            <w:r w:rsidRPr="00A15927">
              <w:rPr>
                <w:rStyle w:val="Hyperlink"/>
              </w:rPr>
              <w:t>https://cb.hbsp.harvard.edu/cbmp/pl/70528854/71959734/a16ebb4c656463128e5477ac66b3d191</w:t>
            </w:r>
            <w:r>
              <w:fldChar w:fldCharType="end"/>
            </w:r>
          </w:p>
        </w:tc>
        <w:tc>
          <w:tcPr>
            <w:tcW w:w="3530" w:type="dxa"/>
            <w:shd w:val="clear" w:color="auto" w:fill="auto"/>
          </w:tcPr>
          <w:p w:rsidR="00F92A20" w:rsidRDefault="00F92A20" w:rsidP="00F92A2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 xml:space="preserve">Read LTCM case for discussion.  Read “When </w:t>
            </w:r>
            <w:r>
              <w:rPr>
                <w:sz w:val="24"/>
                <w:szCs w:val="24"/>
              </w:rPr>
              <w:lastRenderedPageBreak/>
              <w:t>Genius Fails” Free book if you do not have it.</w:t>
            </w:r>
          </w:p>
          <w:p w:rsidR="00E02EB3" w:rsidRPr="00E02EB3" w:rsidRDefault="00F92A20" w:rsidP="00F92A2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Optional: Watch “The Big Short” </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23</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11/30/17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F92A20" w:rsidP="00E02EB3">
            <w:pPr>
              <w:contextualSpacing/>
              <w:rPr>
                <w:b/>
                <w:sz w:val="24"/>
                <w:szCs w:val="24"/>
              </w:rPr>
            </w:pPr>
            <w:r>
              <w:rPr>
                <w:b/>
              </w:rPr>
              <w:t>R</w:t>
            </w:r>
            <w:r w:rsidR="00E02EB3" w:rsidRPr="004E3987">
              <w:rPr>
                <w:b/>
              </w:rPr>
              <w:t>isk management within the firm</w:t>
            </w:r>
            <w:r w:rsidR="00AE3585">
              <w:rPr>
                <w:b/>
              </w:rPr>
              <w:t xml:space="preserve"> </w:t>
            </w:r>
            <w:r w:rsidR="00AE3585">
              <w:rPr>
                <w:b/>
              </w:rPr>
              <w:lastRenderedPageBreak/>
              <w:t xml:space="preserve">and/or advanced quant methods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p>
        </w:tc>
        <w:tc>
          <w:tcPr>
            <w:tcW w:w="3530" w:type="dxa"/>
            <w:shd w:val="clear" w:color="auto" w:fill="auto"/>
          </w:tcPr>
          <w:p w:rsidR="00F92A20" w:rsidRPr="00E02EB3" w:rsidRDefault="00F92A20" w:rsidP="00F92A20">
            <w:pPr>
              <w:pStyle w:val="NoSpacing"/>
              <w:cnfStyle w:val="000000100000" w:firstRow="0" w:lastRow="0" w:firstColumn="0" w:lastColumn="0" w:oddVBand="0" w:evenVBand="0" w:oddHBand="1" w:evenHBand="0" w:firstRowFirstColumn="0" w:firstRowLastColumn="0" w:lastRowFirstColumn="0" w:lastRowLastColumn="0"/>
              <w:rPr>
                <w:color w:val="3333FF"/>
                <w:u w:val="single"/>
              </w:rPr>
            </w:pPr>
            <w:r w:rsidRPr="00F22763">
              <w:rPr>
                <w:b/>
              </w:rPr>
              <w:t>Memo:</w:t>
            </w:r>
            <w:r>
              <w:t xml:space="preserve"> </w:t>
            </w:r>
            <w:r w:rsidRPr="004E3987">
              <w:t>Find a recent example of a significant “risk event” experie</w:t>
            </w:r>
            <w:r>
              <w:t>nced by an investment manager. </w:t>
            </w:r>
            <w:r w:rsidRPr="004E3987">
              <w:t xml:space="preserve"> </w:t>
            </w:r>
            <w:r w:rsidR="00223B49">
              <w:t xml:space="preserve">In a </w:t>
            </w:r>
            <w:r w:rsidR="00223B49">
              <w:lastRenderedPageBreak/>
              <w:t>one-page memo</w:t>
            </w:r>
            <w:r w:rsidRPr="004E3987">
              <w:t xml:space="preserve"> explain it. </w:t>
            </w:r>
            <w:r>
              <w:t xml:space="preserve"> </w:t>
            </w:r>
            <w:r w:rsidRPr="004E3987">
              <w:t>S</w:t>
            </w:r>
            <w:r>
              <w:t>uggestions for starting points:</w:t>
            </w:r>
          </w:p>
          <w:p w:rsidR="00F92A20" w:rsidRPr="004F1699" w:rsidRDefault="00540244" w:rsidP="00F92A20">
            <w:pPr>
              <w:pStyle w:val="NoSpacing"/>
              <w:numPr>
                <w:ilvl w:val="0"/>
                <w:numId w:val="21"/>
              </w:numPr>
              <w:cnfStyle w:val="000000100000" w:firstRow="0" w:lastRow="0" w:firstColumn="0" w:lastColumn="0" w:oddVBand="0" w:evenVBand="0" w:oddHBand="1" w:evenHBand="0" w:firstRowFirstColumn="0" w:firstRowLastColumn="0" w:lastRowFirstColumn="0" w:lastRowLastColumn="0"/>
              <w:rPr>
                <w:color w:val="3333FF"/>
                <w:u w:val="single"/>
              </w:rPr>
            </w:pPr>
            <w:hyperlink r:id="rId25" w:tgtFrame="_parent" w:history="1">
              <w:r w:rsidR="00F92A20" w:rsidRPr="004F1699">
                <w:rPr>
                  <w:color w:val="3333FF"/>
                  <w:u w:val="single"/>
                </w:rPr>
                <w:t>http://hf-implode.com/</w:t>
              </w:r>
            </w:hyperlink>
          </w:p>
          <w:p w:rsidR="00F92A20" w:rsidRPr="004F1699" w:rsidRDefault="00540244" w:rsidP="00F92A20">
            <w:pPr>
              <w:pStyle w:val="NoSpacing"/>
              <w:numPr>
                <w:ilvl w:val="0"/>
                <w:numId w:val="19"/>
              </w:numPr>
              <w:cnfStyle w:val="000000100000" w:firstRow="0" w:lastRow="0" w:firstColumn="0" w:lastColumn="0" w:oddVBand="0" w:evenVBand="0" w:oddHBand="1" w:evenHBand="0" w:firstRowFirstColumn="0" w:firstRowLastColumn="0" w:lastRowFirstColumn="0" w:lastRowLastColumn="0"/>
              <w:rPr>
                <w:color w:val="3333FF"/>
                <w:u w:val="single"/>
              </w:rPr>
            </w:pPr>
            <w:hyperlink r:id="rId26" w:history="1">
              <w:r w:rsidR="00F92A20" w:rsidRPr="004F1699">
                <w:rPr>
                  <w:rStyle w:val="Hyperlink"/>
                  <w:color w:val="3333FF"/>
                </w:rPr>
                <w:t>https://en.wikipedia.org/wiki/Pensions_crisis</w:t>
              </w:r>
            </w:hyperlink>
          </w:p>
          <w:p w:rsidR="00E02EB3" w:rsidRPr="00817A0D" w:rsidRDefault="00540244" w:rsidP="00817A0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hyperlink r:id="rId27" w:anchor=".V7s3kPkrLuo" w:tgtFrame="_parent" w:history="1">
              <w:r w:rsidR="00F92A20" w:rsidRPr="00817A0D">
                <w:rPr>
                  <w:color w:val="3333FF"/>
                  <w:u w:val="single"/>
                </w:rPr>
                <w:t>http://www.401khelpcenter.com/401k_court_legal.html#.V7s3kPkrLuo</w:t>
              </w:r>
            </w:hyperlink>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lastRenderedPageBreak/>
              <w:t>24</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12/05/17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 xml:space="preserve">Class presentations: Risk analysis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F27C89" w:rsidP="00E02EB3">
            <w:pPr>
              <w:contextualSpacing/>
              <w:rPr>
                <w:sz w:val="24"/>
                <w:szCs w:val="24"/>
              </w:rPr>
            </w:pPr>
            <w:r>
              <w:t>Elton, Gruber, Brown, Goetzmann. “Simulations in Portfolio Choice.” Modern Portfolio Theory and Investment Analysis, edition 9, pgs. 241-247.</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Pr>
                <w:b/>
              </w:rPr>
              <w:t>Assignment Due: Risk Analysis</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t>PowerPoints or paper report</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br/>
              <w:t>Present a risk analysis of your portfolio. Include quantitative assessments of:</w:t>
            </w:r>
          </w:p>
          <w:p w:rsidR="00E02EB3" w:rsidRPr="004E3987" w:rsidRDefault="00E02EB3" w:rsidP="00E02EB3">
            <w:pPr>
              <w:pStyle w:val="NoSpacing"/>
              <w:numPr>
                <w:ilvl w:val="0"/>
                <w:numId w:val="20"/>
              </w:numPr>
              <w:cnfStyle w:val="000000000000" w:firstRow="0" w:lastRow="0" w:firstColumn="0" w:lastColumn="0" w:oddVBand="0" w:evenVBand="0" w:oddHBand="0" w:evenHBand="0" w:firstRowFirstColumn="0" w:firstRowLastColumn="0" w:lastRowFirstColumn="0" w:lastRowLastColumn="0"/>
            </w:pPr>
            <w:r w:rsidRPr="004E3987">
              <w:t>Systematic risk, exposures</w:t>
            </w:r>
          </w:p>
          <w:p w:rsidR="00E02EB3" w:rsidRPr="004E3987" w:rsidRDefault="00E02EB3" w:rsidP="00E02EB3">
            <w:pPr>
              <w:pStyle w:val="NoSpacing"/>
              <w:numPr>
                <w:ilvl w:val="0"/>
                <w:numId w:val="20"/>
              </w:numPr>
              <w:cnfStyle w:val="000000000000" w:firstRow="0" w:lastRow="0" w:firstColumn="0" w:lastColumn="0" w:oddVBand="0" w:evenVBand="0" w:oddHBand="0" w:evenHBand="0" w:firstRowFirstColumn="0" w:firstRowLastColumn="0" w:lastRowFirstColumn="0" w:lastRowLastColumn="0"/>
            </w:pPr>
            <w:r w:rsidRPr="004E3987">
              <w:t>Macroeconomic scenario risk</w:t>
            </w:r>
          </w:p>
          <w:p w:rsidR="00E02EB3" w:rsidRPr="004E3987" w:rsidRDefault="00E02EB3" w:rsidP="00E02EB3">
            <w:pPr>
              <w:pStyle w:val="NoSpacing"/>
              <w:numPr>
                <w:ilvl w:val="0"/>
                <w:numId w:val="20"/>
              </w:numPr>
              <w:cnfStyle w:val="000000000000" w:firstRow="0" w:lastRow="0" w:firstColumn="0" w:lastColumn="0" w:oddVBand="0" w:evenVBand="0" w:oddHBand="0" w:evenHBand="0" w:firstRowFirstColumn="0" w:firstRowLastColumn="0" w:lastRowFirstColumn="0" w:lastRowLastColumn="0"/>
            </w:pPr>
            <w:r w:rsidRPr="004E3987">
              <w:t xml:space="preserve">Value-at-risk: monthly VAR and </w:t>
            </w:r>
            <w:proofErr w:type="spellStart"/>
            <w:r w:rsidRPr="004E3987">
              <w:t>cVAR</w:t>
            </w:r>
            <w:proofErr w:type="spellEnd"/>
            <w:r w:rsidRPr="004E3987">
              <w:t xml:space="preserve"> at 1% and 5% levels</w:t>
            </w:r>
          </w:p>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pPr>
            <w:r w:rsidRPr="004E3987">
              <w:t> </w:t>
            </w:r>
          </w:p>
          <w:p w:rsidR="008761FB" w:rsidRPr="00076700" w:rsidRDefault="008761FB" w:rsidP="008761FB">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CA5ECE">
              <w:rPr>
                <w:b/>
              </w:rPr>
              <w:t xml:space="preserve">Group </w:t>
            </w:r>
            <w:r>
              <w:rPr>
                <w:b/>
              </w:rPr>
              <w:t xml:space="preserve">5 &amp; 6 </w:t>
            </w:r>
            <w:r w:rsidRPr="00CA5ECE">
              <w:rPr>
                <w:b/>
              </w:rPr>
              <w:t>Presentation</w:t>
            </w:r>
            <w:r>
              <w:rPr>
                <w:b/>
              </w:rPr>
              <w:t>s</w:t>
            </w:r>
            <w:r w:rsidRPr="00CA5ECE">
              <w:rPr>
                <w:b/>
              </w:rPr>
              <w:t>.</w:t>
            </w:r>
          </w:p>
        </w:tc>
      </w:tr>
      <w:tr w:rsidR="00E02EB3" w:rsidRPr="00076700" w:rsidTr="00817A0D">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25</w:t>
            </w:r>
          </w:p>
        </w:tc>
        <w:tc>
          <w:tcPr>
            <w:tcW w:w="1080" w:type="dxa"/>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rPr>
              <w:t>12/07/17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 xml:space="preserve">Presentations </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E02EB3" w:rsidP="00E02EB3">
            <w:pPr>
              <w:contextualSpacing/>
              <w:rPr>
                <w:sz w:val="24"/>
                <w:szCs w:val="24"/>
              </w:rPr>
            </w:pPr>
            <w:r w:rsidRPr="00296F93">
              <w:t>Osman Nalbantoglu</w:t>
            </w:r>
            <w:r>
              <w:t xml:space="preserve"> </w:t>
            </w:r>
          </w:p>
        </w:tc>
        <w:tc>
          <w:tcPr>
            <w:tcW w:w="3530" w:type="dxa"/>
            <w:shd w:val="clear" w:color="auto" w:fill="auto"/>
          </w:tcPr>
          <w:p w:rsidR="00E02EB3" w:rsidRPr="004E3987" w:rsidRDefault="00E02EB3" w:rsidP="00E02EB3">
            <w:pPr>
              <w:pStyle w:val="NoSpacing"/>
              <w:cnfStyle w:val="000000100000" w:firstRow="0" w:lastRow="0" w:firstColumn="0" w:lastColumn="0" w:oddVBand="0" w:evenVBand="0" w:oddHBand="1" w:evenHBand="0" w:firstRowFirstColumn="0" w:firstRowLastColumn="0" w:lastRowFirstColumn="0" w:lastRowLastColumn="0"/>
              <w:rPr>
                <w:b/>
              </w:rPr>
            </w:pPr>
            <w:r w:rsidRPr="004E3987">
              <w:rPr>
                <w:b/>
              </w:rPr>
              <w:t>Final Reports I</w:t>
            </w:r>
          </w:p>
          <w:p w:rsidR="00E02EB3" w:rsidRDefault="00E02EB3" w:rsidP="00E02EB3">
            <w:pPr>
              <w:contextualSpacing/>
              <w:cnfStyle w:val="000000100000" w:firstRow="0" w:lastRow="0" w:firstColumn="0" w:lastColumn="0" w:oddVBand="0" w:evenVBand="0" w:oddHBand="1" w:evenHBand="0" w:firstRowFirstColumn="0" w:firstRowLastColumn="0" w:lastRowFirstColumn="0" w:lastRowLastColumn="0"/>
            </w:pPr>
            <w:r w:rsidRPr="004E3987">
              <w:t>Final presentations based on prior reports.  Executive summary of 6 slides, 10 minutes.  Hand in full pdf of prior reports with executive summary cover.</w:t>
            </w:r>
          </w:p>
          <w:p w:rsidR="008761FB" w:rsidRDefault="008761FB" w:rsidP="00E02EB3">
            <w:pPr>
              <w:contextualSpacing/>
              <w:cnfStyle w:val="000000100000" w:firstRow="0" w:lastRow="0" w:firstColumn="0" w:lastColumn="0" w:oddVBand="0" w:evenVBand="0" w:oddHBand="1" w:evenHBand="0" w:firstRowFirstColumn="0" w:firstRowLastColumn="0" w:lastRowFirstColumn="0" w:lastRowLastColumn="0"/>
            </w:pPr>
          </w:p>
          <w:p w:rsidR="008761FB" w:rsidRPr="00076700" w:rsidRDefault="008761FB" w:rsidP="00E02EB3">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CA5ECE">
              <w:rPr>
                <w:b/>
              </w:rPr>
              <w:t>Group</w:t>
            </w:r>
            <w:r>
              <w:rPr>
                <w:b/>
              </w:rPr>
              <w:t>s</w:t>
            </w:r>
            <w:r w:rsidRPr="00CA5ECE">
              <w:rPr>
                <w:b/>
              </w:rPr>
              <w:t xml:space="preserve"> </w:t>
            </w:r>
            <w:r>
              <w:rPr>
                <w:b/>
              </w:rPr>
              <w:t xml:space="preserve">1, </w:t>
            </w:r>
            <w:r w:rsidRPr="00CA5ECE">
              <w:rPr>
                <w:b/>
              </w:rPr>
              <w:t>2</w:t>
            </w:r>
            <w:r>
              <w:rPr>
                <w:b/>
              </w:rPr>
              <w:t>, &amp; 3 Final</w:t>
            </w:r>
            <w:r w:rsidRPr="00CA5ECE">
              <w:rPr>
                <w:b/>
              </w:rPr>
              <w:t xml:space="preserve"> Presentation</w:t>
            </w:r>
            <w:r>
              <w:rPr>
                <w:b/>
              </w:rPr>
              <w:t>s</w:t>
            </w:r>
            <w:r w:rsidRPr="00CA5ECE">
              <w:rPr>
                <w:b/>
              </w:rPr>
              <w:t>.</w:t>
            </w:r>
          </w:p>
        </w:tc>
      </w:tr>
      <w:tr w:rsidR="00E02EB3" w:rsidRPr="00076700" w:rsidTr="00817A0D">
        <w:trPr>
          <w:trHeight w:val="430"/>
          <w:jc w:val="center"/>
        </w:trPr>
        <w:tc>
          <w:tcPr>
            <w:cnfStyle w:val="000010000000" w:firstRow="0" w:lastRow="0" w:firstColumn="0" w:lastColumn="0" w:oddVBand="1" w:evenVBand="0" w:oddHBand="0" w:evenHBand="0" w:firstRowFirstColumn="0" w:firstRowLastColumn="0" w:lastRowFirstColumn="0" w:lastRowLastColumn="0"/>
            <w:tcW w:w="440" w:type="dxa"/>
            <w:shd w:val="clear" w:color="auto" w:fill="B8CCE4" w:themeFill="accent1" w:themeFillTint="66"/>
          </w:tcPr>
          <w:p w:rsidR="00E02EB3" w:rsidRPr="00076700" w:rsidRDefault="00E02EB3" w:rsidP="00E02EB3">
            <w:pPr>
              <w:contextualSpacing/>
              <w:jc w:val="center"/>
              <w:rPr>
                <w:sz w:val="24"/>
                <w:szCs w:val="24"/>
              </w:rPr>
            </w:pPr>
            <w:r w:rsidRPr="004E3987">
              <w:rPr>
                <w:b/>
              </w:rPr>
              <w:t>26</w:t>
            </w:r>
          </w:p>
        </w:tc>
        <w:tc>
          <w:tcPr>
            <w:tcW w:w="1080" w:type="dxa"/>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b/>
                <w:sz w:val="24"/>
                <w:szCs w:val="24"/>
              </w:rPr>
            </w:pPr>
            <w:r>
              <w:rPr>
                <w:b/>
              </w:rPr>
              <w:t>12/12/17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02EB3" w:rsidRPr="00076700" w:rsidRDefault="00E02EB3" w:rsidP="00E02EB3">
            <w:pPr>
              <w:contextualSpacing/>
              <w:rPr>
                <w:b/>
                <w:sz w:val="24"/>
                <w:szCs w:val="24"/>
              </w:rPr>
            </w:pPr>
            <w:r w:rsidRPr="004E3987">
              <w:rPr>
                <w:b/>
              </w:rPr>
              <w:t>Presentations</w:t>
            </w:r>
          </w:p>
        </w:tc>
        <w:tc>
          <w:tcPr>
            <w:tcW w:w="1620" w:type="dxa"/>
            <w:tcBorders>
              <w:right w:val="single" w:sz="4" w:space="0" w:color="4F81BD" w:themeColor="accent1"/>
            </w:tcBorders>
            <w:shd w:val="clear" w:color="auto" w:fill="auto"/>
          </w:tcPr>
          <w:p w:rsidR="00E02EB3" w:rsidRPr="00076700" w:rsidRDefault="00E02EB3" w:rsidP="00E02EB3">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4E3987">
              <w:t> </w:t>
            </w:r>
          </w:p>
        </w:tc>
        <w:tc>
          <w:tcPr>
            <w:cnfStyle w:val="000010000000" w:firstRow="0" w:lastRow="0" w:firstColumn="0" w:lastColumn="0" w:oddVBand="1" w:evenVBand="0" w:oddHBand="0" w:evenHBand="0" w:firstRowFirstColumn="0" w:firstRowLastColumn="0" w:lastRowFirstColumn="0" w:lastRowLastColumn="0"/>
            <w:tcW w:w="2880" w:type="dxa"/>
            <w:tcBorders>
              <w:left w:val="single" w:sz="4" w:space="0" w:color="4F81BD" w:themeColor="accent1"/>
            </w:tcBorders>
            <w:shd w:val="clear" w:color="auto" w:fill="auto"/>
          </w:tcPr>
          <w:p w:rsidR="00E02EB3" w:rsidRPr="00076700" w:rsidRDefault="008F5017" w:rsidP="00E02EB3">
            <w:pPr>
              <w:contextualSpacing/>
              <w:rPr>
                <w:sz w:val="24"/>
                <w:szCs w:val="24"/>
              </w:rPr>
            </w:pPr>
            <w:r w:rsidRPr="00296F93">
              <w:t>Osman Nalbantoglu</w:t>
            </w:r>
          </w:p>
        </w:tc>
        <w:tc>
          <w:tcPr>
            <w:tcW w:w="3530" w:type="dxa"/>
            <w:shd w:val="clear" w:color="auto" w:fill="auto"/>
          </w:tcPr>
          <w:p w:rsidR="00E02EB3" w:rsidRPr="004E3987" w:rsidRDefault="00E02EB3" w:rsidP="00E02EB3">
            <w:pPr>
              <w:pStyle w:val="NoSpacing"/>
              <w:cnfStyle w:val="000000000000" w:firstRow="0" w:lastRow="0" w:firstColumn="0" w:lastColumn="0" w:oddVBand="0" w:evenVBand="0" w:oddHBand="0" w:evenHBand="0" w:firstRowFirstColumn="0" w:firstRowLastColumn="0" w:lastRowFirstColumn="0" w:lastRowLastColumn="0"/>
              <w:rPr>
                <w:b/>
              </w:rPr>
            </w:pPr>
            <w:r w:rsidRPr="004E3987">
              <w:rPr>
                <w:b/>
              </w:rPr>
              <w:t>Final Reports II </w:t>
            </w:r>
          </w:p>
          <w:p w:rsidR="00E02EB3" w:rsidRDefault="00E02EB3" w:rsidP="00E02EB3">
            <w:pPr>
              <w:contextualSpacing/>
              <w:cnfStyle w:val="000000000000" w:firstRow="0" w:lastRow="0" w:firstColumn="0" w:lastColumn="0" w:oddVBand="0" w:evenVBand="0" w:oddHBand="0" w:evenHBand="0" w:firstRowFirstColumn="0" w:firstRowLastColumn="0" w:lastRowFirstColumn="0" w:lastRowLastColumn="0"/>
            </w:pPr>
            <w:r w:rsidRPr="004E3987">
              <w:t>Final presentations based on prior reports.  Executive summary of 6 slides, 10 minutes.  Hand in full pdf of prior reports with executive summary cover.</w:t>
            </w:r>
          </w:p>
          <w:p w:rsidR="008761FB" w:rsidRDefault="008761FB" w:rsidP="00E02EB3">
            <w:pPr>
              <w:contextualSpacing/>
              <w:cnfStyle w:val="000000000000" w:firstRow="0" w:lastRow="0" w:firstColumn="0" w:lastColumn="0" w:oddVBand="0" w:evenVBand="0" w:oddHBand="0" w:evenHBand="0" w:firstRowFirstColumn="0" w:firstRowLastColumn="0" w:lastRowFirstColumn="0" w:lastRowLastColumn="0"/>
            </w:pPr>
          </w:p>
          <w:p w:rsidR="008761FB" w:rsidRPr="00076700" w:rsidRDefault="008761FB" w:rsidP="008761FB">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CA5ECE">
              <w:rPr>
                <w:b/>
              </w:rPr>
              <w:t>Group</w:t>
            </w:r>
            <w:r>
              <w:rPr>
                <w:b/>
              </w:rPr>
              <w:t>s</w:t>
            </w:r>
            <w:r w:rsidRPr="00CA5ECE">
              <w:rPr>
                <w:b/>
              </w:rPr>
              <w:t xml:space="preserve"> </w:t>
            </w:r>
            <w:r>
              <w:rPr>
                <w:b/>
              </w:rPr>
              <w:t>4, 5, &amp; 6 Final</w:t>
            </w:r>
            <w:r w:rsidRPr="00CA5ECE">
              <w:rPr>
                <w:b/>
              </w:rPr>
              <w:t xml:space="preserve"> Presentation</w:t>
            </w:r>
            <w:r>
              <w:rPr>
                <w:b/>
              </w:rPr>
              <w:t>s</w:t>
            </w:r>
            <w:r w:rsidRPr="00CA5ECE">
              <w:rPr>
                <w:b/>
              </w:rPr>
              <w:t>.</w:t>
            </w:r>
          </w:p>
        </w:tc>
      </w:tr>
    </w:tbl>
    <w:p w:rsidR="00EE3EED" w:rsidRPr="00076700" w:rsidRDefault="00EE3EED" w:rsidP="00BF608B">
      <w:pPr>
        <w:spacing w:after="0" w:line="240" w:lineRule="auto"/>
        <w:contextualSpacing/>
        <w:jc w:val="center"/>
        <w:rPr>
          <w:rStyle w:val="IntenseEmphasis"/>
          <w:rFonts w:cstheme="minorHAnsi"/>
          <w:b w:val="0"/>
          <w:color w:val="auto"/>
          <w:sz w:val="24"/>
          <w:szCs w:val="24"/>
        </w:rPr>
      </w:pPr>
    </w:p>
    <w:p w:rsidR="008749A3" w:rsidRPr="00076700" w:rsidRDefault="008749A3" w:rsidP="00BF608B">
      <w:pPr>
        <w:spacing w:after="0" w:line="240" w:lineRule="auto"/>
        <w:contextualSpacing/>
        <w:jc w:val="center"/>
        <w:rPr>
          <w:rFonts w:cstheme="minorHAnsi"/>
          <w:b/>
          <w:bCs/>
          <w:sz w:val="24"/>
          <w:szCs w:val="24"/>
        </w:rPr>
      </w:pPr>
      <w:r w:rsidRPr="00076700">
        <w:rPr>
          <w:rStyle w:val="IntenseEmphasis"/>
          <w:rFonts w:cstheme="minorHAnsi"/>
          <w:b w:val="0"/>
          <w:color w:val="auto"/>
          <w:sz w:val="24"/>
          <w:szCs w:val="24"/>
        </w:rPr>
        <w:t>The instructor reserves the right to modify and/or change the course syllabus as needed during the course.</w:t>
      </w:r>
    </w:p>
    <w:sectPr w:rsidR="008749A3" w:rsidRPr="00076700" w:rsidSect="0039707A">
      <w:footerReference w:type="default" r:id="rId28"/>
      <w:headerReference w:type="first" r:id="rId29"/>
      <w:pgSz w:w="12240" w:h="15840"/>
      <w:pgMar w:top="990" w:right="990" w:bottom="117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64" w:rsidRDefault="00941864" w:rsidP="00F168D3">
      <w:pPr>
        <w:spacing w:after="0" w:line="240" w:lineRule="auto"/>
      </w:pPr>
      <w:r>
        <w:separator/>
      </w:r>
    </w:p>
  </w:endnote>
  <w:endnote w:type="continuationSeparator" w:id="0">
    <w:p w:rsidR="00941864" w:rsidRDefault="00941864" w:rsidP="00F1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B3" w:rsidRPr="00CC37C5" w:rsidRDefault="00E02EB3" w:rsidP="00CC37C5">
    <w:pPr>
      <w:pStyle w:val="Footer"/>
      <w:tabs>
        <w:tab w:val="clear" w:pos="9360"/>
        <w:tab w:val="right" w:pos="10260"/>
      </w:tabs>
      <w:rPr>
        <w:rFonts w:asciiTheme="majorHAnsi" w:hAnsiTheme="majorHAnsi"/>
        <w:sz w:val="16"/>
        <w:szCs w:val="16"/>
      </w:rPr>
    </w:pPr>
    <w:r w:rsidRPr="00CC37C5">
      <w:rPr>
        <w:rFonts w:asciiTheme="majorHAnsi" w:hAnsiTheme="majorHAnsi"/>
        <w:b/>
        <w:sz w:val="16"/>
        <w:szCs w:val="16"/>
      </w:rPr>
      <w:tab/>
    </w:r>
    <w:r w:rsidRPr="00CC37C5">
      <w:rPr>
        <w:rFonts w:asciiTheme="majorHAnsi" w:hAnsiTheme="majorHAnsi"/>
        <w:b/>
        <w:sz w:val="16"/>
        <w:szCs w:val="16"/>
      </w:rPr>
      <w:tab/>
      <w:t xml:space="preserve"> </w:t>
    </w:r>
    <w:r w:rsidRPr="00CC37C5">
      <w:rPr>
        <w:rFonts w:asciiTheme="majorHAnsi" w:hAnsiTheme="majorHAnsi"/>
        <w:sz w:val="16"/>
        <w:szCs w:val="16"/>
      </w:rPr>
      <w:t xml:space="preserve">Page </w:t>
    </w:r>
    <w:r w:rsidRPr="00CC37C5">
      <w:rPr>
        <w:rFonts w:asciiTheme="majorHAnsi" w:hAnsiTheme="majorHAnsi"/>
        <w:sz w:val="16"/>
        <w:szCs w:val="16"/>
      </w:rPr>
      <w:fldChar w:fldCharType="begin"/>
    </w:r>
    <w:r w:rsidRPr="00CC37C5">
      <w:rPr>
        <w:rFonts w:asciiTheme="majorHAnsi" w:hAnsiTheme="majorHAnsi"/>
        <w:sz w:val="16"/>
        <w:szCs w:val="16"/>
      </w:rPr>
      <w:instrText xml:space="preserve"> PAGE   \* MERGEFORMAT </w:instrText>
    </w:r>
    <w:r w:rsidRPr="00CC37C5">
      <w:rPr>
        <w:rFonts w:asciiTheme="majorHAnsi" w:hAnsiTheme="majorHAnsi"/>
        <w:sz w:val="16"/>
        <w:szCs w:val="16"/>
      </w:rPr>
      <w:fldChar w:fldCharType="separate"/>
    </w:r>
    <w:r w:rsidR="00540244">
      <w:rPr>
        <w:rFonts w:asciiTheme="majorHAnsi" w:hAnsiTheme="majorHAnsi"/>
        <w:noProof/>
        <w:sz w:val="16"/>
        <w:szCs w:val="16"/>
      </w:rPr>
      <w:t>14</w:t>
    </w:r>
    <w:r w:rsidRPr="00CC37C5">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64" w:rsidRDefault="00941864" w:rsidP="00F168D3">
      <w:pPr>
        <w:spacing w:after="0" w:line="240" w:lineRule="auto"/>
      </w:pPr>
      <w:r>
        <w:separator/>
      </w:r>
    </w:p>
  </w:footnote>
  <w:footnote w:type="continuationSeparator" w:id="0">
    <w:p w:rsidR="00941864" w:rsidRDefault="00941864" w:rsidP="00F1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B3" w:rsidRDefault="00E02EB3">
    <w:pPr>
      <w:pStyle w:val="Header"/>
    </w:pPr>
    <w:r>
      <w:rPr>
        <w:noProof/>
      </w:rPr>
      <w:drawing>
        <wp:anchor distT="0" distB="0" distL="114300" distR="114300" simplePos="0" relativeHeight="251659264" behindDoc="1" locked="0" layoutInCell="1" allowOverlap="1" wp14:anchorId="1FDFF165" wp14:editId="6D3C6F3A">
          <wp:simplePos x="0" y="0"/>
          <wp:positionH relativeFrom="page">
            <wp:posOffset>0</wp:posOffset>
          </wp:positionH>
          <wp:positionV relativeFrom="page">
            <wp:posOffset>0</wp:posOffset>
          </wp:positionV>
          <wp:extent cx="7772400" cy="100586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Sheet top.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18"/>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B05B3"/>
    <w:multiLevelType w:val="hybridMultilevel"/>
    <w:tmpl w:val="B1C8C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57B9"/>
    <w:multiLevelType w:val="hybridMultilevel"/>
    <w:tmpl w:val="2904EA86"/>
    <w:lvl w:ilvl="0" w:tplc="E5B62D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05578"/>
    <w:multiLevelType w:val="hybridMultilevel"/>
    <w:tmpl w:val="AED2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86373"/>
    <w:multiLevelType w:val="hybridMultilevel"/>
    <w:tmpl w:val="EBE4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117A2"/>
    <w:multiLevelType w:val="hybridMultilevel"/>
    <w:tmpl w:val="82021B8C"/>
    <w:lvl w:ilvl="0" w:tplc="E5B62D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64E4"/>
    <w:multiLevelType w:val="hybridMultilevel"/>
    <w:tmpl w:val="C9008154"/>
    <w:lvl w:ilvl="0" w:tplc="0B147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B566C"/>
    <w:multiLevelType w:val="hybridMultilevel"/>
    <w:tmpl w:val="4C12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B475B6"/>
    <w:multiLevelType w:val="hybridMultilevel"/>
    <w:tmpl w:val="16EA6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73C2F"/>
    <w:multiLevelType w:val="hybridMultilevel"/>
    <w:tmpl w:val="C7EC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5E75C6"/>
    <w:multiLevelType w:val="hybridMultilevel"/>
    <w:tmpl w:val="0352DEEC"/>
    <w:lvl w:ilvl="0" w:tplc="E5B62D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BF2"/>
    <w:multiLevelType w:val="hybridMultilevel"/>
    <w:tmpl w:val="F17C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C3343B"/>
    <w:multiLevelType w:val="hybridMultilevel"/>
    <w:tmpl w:val="E5D4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232245"/>
    <w:multiLevelType w:val="hybridMultilevel"/>
    <w:tmpl w:val="DBCE0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AF0157"/>
    <w:multiLevelType w:val="hybridMultilevel"/>
    <w:tmpl w:val="49C8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21B2E"/>
    <w:multiLevelType w:val="hybridMultilevel"/>
    <w:tmpl w:val="B088F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081358"/>
    <w:multiLevelType w:val="hybridMultilevel"/>
    <w:tmpl w:val="859C4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904FF4"/>
    <w:multiLevelType w:val="hybridMultilevel"/>
    <w:tmpl w:val="0D224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5633F"/>
    <w:multiLevelType w:val="hybridMultilevel"/>
    <w:tmpl w:val="4C7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A1532"/>
    <w:multiLevelType w:val="hybridMultilevel"/>
    <w:tmpl w:val="B34888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9D64D33"/>
    <w:multiLevelType w:val="hybridMultilevel"/>
    <w:tmpl w:val="DFF0A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7745F1"/>
    <w:multiLevelType w:val="hybridMultilevel"/>
    <w:tmpl w:val="DD582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8"/>
  </w:num>
  <w:num w:numId="4">
    <w:abstractNumId w:val="3"/>
  </w:num>
  <w:num w:numId="5">
    <w:abstractNumId w:val="13"/>
  </w:num>
  <w:num w:numId="6">
    <w:abstractNumId w:val="20"/>
  </w:num>
  <w:num w:numId="7">
    <w:abstractNumId w:val="1"/>
  </w:num>
  <w:num w:numId="8">
    <w:abstractNumId w:val="14"/>
  </w:num>
  <w:num w:numId="9">
    <w:abstractNumId w:val="21"/>
  </w:num>
  <w:num w:numId="10">
    <w:abstractNumId w:val="17"/>
  </w:num>
  <w:num w:numId="11">
    <w:abstractNumId w:val="16"/>
  </w:num>
  <w:num w:numId="12">
    <w:abstractNumId w:val="11"/>
  </w:num>
  <w:num w:numId="13">
    <w:abstractNumId w:val="6"/>
  </w:num>
  <w:num w:numId="14">
    <w:abstractNumId w:val="2"/>
  </w:num>
  <w:num w:numId="15">
    <w:abstractNumId w:val="4"/>
  </w:num>
  <w:num w:numId="16">
    <w:abstractNumId w:val="8"/>
  </w:num>
  <w:num w:numId="17">
    <w:abstractNumId w:val="9"/>
  </w:num>
  <w:num w:numId="18">
    <w:abstractNumId w:val="12"/>
  </w:num>
  <w:num w:numId="19">
    <w:abstractNumId w:val="5"/>
  </w:num>
  <w:num w:numId="20">
    <w:abstractNumId w:val="7"/>
  </w:num>
  <w:num w:numId="21">
    <w:abstractNumId w:val="10"/>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A7"/>
    <w:rsid w:val="00001267"/>
    <w:rsid w:val="0000726A"/>
    <w:rsid w:val="00015ADF"/>
    <w:rsid w:val="00052513"/>
    <w:rsid w:val="00053A2F"/>
    <w:rsid w:val="00054654"/>
    <w:rsid w:val="00062DD1"/>
    <w:rsid w:val="00076700"/>
    <w:rsid w:val="000818D4"/>
    <w:rsid w:val="00091D42"/>
    <w:rsid w:val="000A11EF"/>
    <w:rsid w:val="000F1D8B"/>
    <w:rsid w:val="00110582"/>
    <w:rsid w:val="00120987"/>
    <w:rsid w:val="001302D0"/>
    <w:rsid w:val="0016016C"/>
    <w:rsid w:val="001625D4"/>
    <w:rsid w:val="00184FA9"/>
    <w:rsid w:val="0019126B"/>
    <w:rsid w:val="001A40D5"/>
    <w:rsid w:val="001B4874"/>
    <w:rsid w:val="001B52F5"/>
    <w:rsid w:val="001C60AB"/>
    <w:rsid w:val="001D7976"/>
    <w:rsid w:val="001F1A6B"/>
    <w:rsid w:val="00212C05"/>
    <w:rsid w:val="00223B49"/>
    <w:rsid w:val="00225F28"/>
    <w:rsid w:val="00235EAA"/>
    <w:rsid w:val="00250C56"/>
    <w:rsid w:val="00275544"/>
    <w:rsid w:val="00286F26"/>
    <w:rsid w:val="002952EF"/>
    <w:rsid w:val="002B5ECD"/>
    <w:rsid w:val="002D49CD"/>
    <w:rsid w:val="002E7A20"/>
    <w:rsid w:val="002E7DE8"/>
    <w:rsid w:val="00303D32"/>
    <w:rsid w:val="00327500"/>
    <w:rsid w:val="00333030"/>
    <w:rsid w:val="00333C11"/>
    <w:rsid w:val="00340AFE"/>
    <w:rsid w:val="00341640"/>
    <w:rsid w:val="00376FCC"/>
    <w:rsid w:val="00392FEC"/>
    <w:rsid w:val="0039707A"/>
    <w:rsid w:val="003A3123"/>
    <w:rsid w:val="003A35E4"/>
    <w:rsid w:val="003B67E3"/>
    <w:rsid w:val="003B7CA1"/>
    <w:rsid w:val="003C3126"/>
    <w:rsid w:val="003E39CE"/>
    <w:rsid w:val="003F5C93"/>
    <w:rsid w:val="003F6323"/>
    <w:rsid w:val="00430700"/>
    <w:rsid w:val="00431E75"/>
    <w:rsid w:val="00435022"/>
    <w:rsid w:val="00440A00"/>
    <w:rsid w:val="004442AE"/>
    <w:rsid w:val="00480FCB"/>
    <w:rsid w:val="004978AB"/>
    <w:rsid w:val="004A51F1"/>
    <w:rsid w:val="004B08CE"/>
    <w:rsid w:val="004B5FBD"/>
    <w:rsid w:val="00536E46"/>
    <w:rsid w:val="00540244"/>
    <w:rsid w:val="005664AD"/>
    <w:rsid w:val="00574711"/>
    <w:rsid w:val="005820BE"/>
    <w:rsid w:val="00586B2B"/>
    <w:rsid w:val="00590A0E"/>
    <w:rsid w:val="005A0222"/>
    <w:rsid w:val="005A22A6"/>
    <w:rsid w:val="005A3DB7"/>
    <w:rsid w:val="005B431E"/>
    <w:rsid w:val="005B4FD5"/>
    <w:rsid w:val="005B7A5E"/>
    <w:rsid w:val="00622420"/>
    <w:rsid w:val="006323F6"/>
    <w:rsid w:val="00634BE5"/>
    <w:rsid w:val="00641CBF"/>
    <w:rsid w:val="00642E44"/>
    <w:rsid w:val="0066003C"/>
    <w:rsid w:val="00663784"/>
    <w:rsid w:val="00672F22"/>
    <w:rsid w:val="006844D7"/>
    <w:rsid w:val="00697890"/>
    <w:rsid w:val="006A3CB2"/>
    <w:rsid w:val="006A52E1"/>
    <w:rsid w:val="006B6088"/>
    <w:rsid w:val="006B6DD8"/>
    <w:rsid w:val="0071031A"/>
    <w:rsid w:val="00711F6F"/>
    <w:rsid w:val="00727543"/>
    <w:rsid w:val="00777EE3"/>
    <w:rsid w:val="00780272"/>
    <w:rsid w:val="007854E1"/>
    <w:rsid w:val="007A1939"/>
    <w:rsid w:val="007D1B34"/>
    <w:rsid w:val="007E5A67"/>
    <w:rsid w:val="007F6E43"/>
    <w:rsid w:val="008031E5"/>
    <w:rsid w:val="00817A0D"/>
    <w:rsid w:val="00826AD0"/>
    <w:rsid w:val="00837704"/>
    <w:rsid w:val="008749A3"/>
    <w:rsid w:val="008761FB"/>
    <w:rsid w:val="008825D6"/>
    <w:rsid w:val="00882CE8"/>
    <w:rsid w:val="008858AF"/>
    <w:rsid w:val="0089557B"/>
    <w:rsid w:val="008C5152"/>
    <w:rsid w:val="008C68FB"/>
    <w:rsid w:val="008E23D6"/>
    <w:rsid w:val="008F5017"/>
    <w:rsid w:val="00905649"/>
    <w:rsid w:val="00906284"/>
    <w:rsid w:val="0091336F"/>
    <w:rsid w:val="00924D97"/>
    <w:rsid w:val="0093724F"/>
    <w:rsid w:val="00941864"/>
    <w:rsid w:val="00945973"/>
    <w:rsid w:val="00954D29"/>
    <w:rsid w:val="00964E5E"/>
    <w:rsid w:val="00970082"/>
    <w:rsid w:val="00981B66"/>
    <w:rsid w:val="0098738A"/>
    <w:rsid w:val="00987DFF"/>
    <w:rsid w:val="009D52A4"/>
    <w:rsid w:val="00A231E6"/>
    <w:rsid w:val="00A23CA9"/>
    <w:rsid w:val="00A50567"/>
    <w:rsid w:val="00A64A85"/>
    <w:rsid w:val="00A65ACC"/>
    <w:rsid w:val="00A75EFB"/>
    <w:rsid w:val="00A840B6"/>
    <w:rsid w:val="00A84462"/>
    <w:rsid w:val="00AA270A"/>
    <w:rsid w:val="00AC0AF9"/>
    <w:rsid w:val="00AC6710"/>
    <w:rsid w:val="00AE3585"/>
    <w:rsid w:val="00AF05E7"/>
    <w:rsid w:val="00AF3E06"/>
    <w:rsid w:val="00B0224C"/>
    <w:rsid w:val="00B03DC5"/>
    <w:rsid w:val="00B216D7"/>
    <w:rsid w:val="00B2270C"/>
    <w:rsid w:val="00B26281"/>
    <w:rsid w:val="00B52B9A"/>
    <w:rsid w:val="00B562FC"/>
    <w:rsid w:val="00B7353F"/>
    <w:rsid w:val="00BA4C97"/>
    <w:rsid w:val="00BA7E34"/>
    <w:rsid w:val="00BC29F5"/>
    <w:rsid w:val="00BF608B"/>
    <w:rsid w:val="00BF6DE1"/>
    <w:rsid w:val="00C31E79"/>
    <w:rsid w:val="00C4022A"/>
    <w:rsid w:val="00C7019B"/>
    <w:rsid w:val="00C72425"/>
    <w:rsid w:val="00C72957"/>
    <w:rsid w:val="00C7404C"/>
    <w:rsid w:val="00C83AD1"/>
    <w:rsid w:val="00C94B86"/>
    <w:rsid w:val="00CA5ECE"/>
    <w:rsid w:val="00CA6791"/>
    <w:rsid w:val="00CC37C5"/>
    <w:rsid w:val="00CC5C74"/>
    <w:rsid w:val="00CD5B0D"/>
    <w:rsid w:val="00CE109F"/>
    <w:rsid w:val="00CF2EB4"/>
    <w:rsid w:val="00CF7CA0"/>
    <w:rsid w:val="00D03753"/>
    <w:rsid w:val="00D10F5C"/>
    <w:rsid w:val="00D27C08"/>
    <w:rsid w:val="00D409CC"/>
    <w:rsid w:val="00D44DA0"/>
    <w:rsid w:val="00D50DD4"/>
    <w:rsid w:val="00D93BE4"/>
    <w:rsid w:val="00D978D8"/>
    <w:rsid w:val="00DB042D"/>
    <w:rsid w:val="00DB77FB"/>
    <w:rsid w:val="00DE21A0"/>
    <w:rsid w:val="00DE31E1"/>
    <w:rsid w:val="00DF1A65"/>
    <w:rsid w:val="00DF41E5"/>
    <w:rsid w:val="00DF6AEB"/>
    <w:rsid w:val="00DF7A77"/>
    <w:rsid w:val="00E00A00"/>
    <w:rsid w:val="00E02EB3"/>
    <w:rsid w:val="00E21CE6"/>
    <w:rsid w:val="00E318EF"/>
    <w:rsid w:val="00E5129D"/>
    <w:rsid w:val="00E57450"/>
    <w:rsid w:val="00E66F13"/>
    <w:rsid w:val="00E770B9"/>
    <w:rsid w:val="00E87DA8"/>
    <w:rsid w:val="00E95790"/>
    <w:rsid w:val="00EB6E77"/>
    <w:rsid w:val="00ED373C"/>
    <w:rsid w:val="00ED5D18"/>
    <w:rsid w:val="00ED777C"/>
    <w:rsid w:val="00EE3EED"/>
    <w:rsid w:val="00F018A4"/>
    <w:rsid w:val="00F168D3"/>
    <w:rsid w:val="00F27C89"/>
    <w:rsid w:val="00F3428B"/>
    <w:rsid w:val="00F565CF"/>
    <w:rsid w:val="00F85967"/>
    <w:rsid w:val="00F861F1"/>
    <w:rsid w:val="00F92A20"/>
    <w:rsid w:val="00FA5765"/>
    <w:rsid w:val="00FA71AA"/>
    <w:rsid w:val="00FC517A"/>
    <w:rsid w:val="00FD63A7"/>
    <w:rsid w:val="00FF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E269D8-5259-44FD-B2B6-9964FF9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31E1"/>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E31E1"/>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E31E1"/>
    <w:pPr>
      <w:keepNext/>
      <w:numPr>
        <w:ilvl w:val="2"/>
        <w:numId w:val="1"/>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DE31E1"/>
    <w:pPr>
      <w:keepNext/>
      <w:numPr>
        <w:ilvl w:val="3"/>
        <w:numId w:val="1"/>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DE31E1"/>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E31E1"/>
    <w:pPr>
      <w:numPr>
        <w:ilvl w:val="5"/>
        <w:numId w:val="1"/>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DE31E1"/>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E31E1"/>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E31E1"/>
    <w:pPr>
      <w:numPr>
        <w:ilvl w:val="8"/>
        <w:numId w:val="1"/>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E77"/>
    <w:pPr>
      <w:spacing w:after="0" w:line="240" w:lineRule="auto"/>
    </w:pPr>
  </w:style>
  <w:style w:type="character" w:styleId="Hyperlink">
    <w:name w:val="Hyperlink"/>
    <w:basedOn w:val="DefaultParagraphFont"/>
    <w:uiPriority w:val="99"/>
    <w:unhideWhenUsed/>
    <w:rsid w:val="00FD63A7"/>
    <w:rPr>
      <w:color w:val="0000FF"/>
      <w:u w:val="single"/>
    </w:rPr>
  </w:style>
  <w:style w:type="paragraph" w:styleId="ListParagraph">
    <w:name w:val="List Paragraph"/>
    <w:basedOn w:val="Normal"/>
    <w:uiPriority w:val="34"/>
    <w:qFormat/>
    <w:rsid w:val="00F168D3"/>
    <w:pPr>
      <w:ind w:left="720"/>
      <w:contextualSpacing/>
    </w:pPr>
  </w:style>
  <w:style w:type="paragraph" w:styleId="Header">
    <w:name w:val="header"/>
    <w:basedOn w:val="Normal"/>
    <w:link w:val="HeaderChar"/>
    <w:unhideWhenUsed/>
    <w:rsid w:val="00F168D3"/>
    <w:pPr>
      <w:tabs>
        <w:tab w:val="center" w:pos="4680"/>
        <w:tab w:val="right" w:pos="9360"/>
      </w:tabs>
      <w:spacing w:after="0" w:line="240" w:lineRule="auto"/>
    </w:pPr>
  </w:style>
  <w:style w:type="character" w:customStyle="1" w:styleId="HeaderChar">
    <w:name w:val="Header Char"/>
    <w:basedOn w:val="DefaultParagraphFont"/>
    <w:link w:val="Header"/>
    <w:rsid w:val="00F168D3"/>
  </w:style>
  <w:style w:type="paragraph" w:styleId="Footer">
    <w:name w:val="footer"/>
    <w:basedOn w:val="Normal"/>
    <w:link w:val="FooterChar"/>
    <w:uiPriority w:val="99"/>
    <w:unhideWhenUsed/>
    <w:rsid w:val="00F1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D3"/>
  </w:style>
  <w:style w:type="paragraph" w:styleId="BalloonText">
    <w:name w:val="Balloon Text"/>
    <w:basedOn w:val="Normal"/>
    <w:link w:val="BalloonTextChar"/>
    <w:uiPriority w:val="99"/>
    <w:semiHidden/>
    <w:unhideWhenUsed/>
    <w:rsid w:val="00F1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D3"/>
    <w:rPr>
      <w:rFonts w:ascii="Tahoma" w:hAnsi="Tahoma" w:cs="Tahoma"/>
      <w:sz w:val="16"/>
      <w:szCs w:val="16"/>
    </w:rPr>
  </w:style>
  <w:style w:type="character" w:customStyle="1" w:styleId="Heading1Char">
    <w:name w:val="Heading 1 Char"/>
    <w:basedOn w:val="DefaultParagraphFont"/>
    <w:link w:val="Heading1"/>
    <w:rsid w:val="00DE31E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E31E1"/>
    <w:rPr>
      <w:rFonts w:ascii="Arial" w:eastAsia="Times New Roman" w:hAnsi="Arial" w:cs="Times New Roman"/>
      <w:b/>
      <w:i/>
      <w:sz w:val="24"/>
      <w:szCs w:val="20"/>
    </w:rPr>
  </w:style>
  <w:style w:type="character" w:customStyle="1" w:styleId="Heading3Char">
    <w:name w:val="Heading 3 Char"/>
    <w:basedOn w:val="DefaultParagraphFont"/>
    <w:link w:val="Heading3"/>
    <w:rsid w:val="00DE31E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E31E1"/>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DE31E1"/>
    <w:rPr>
      <w:rFonts w:ascii="Arial" w:eastAsia="Times New Roman" w:hAnsi="Arial" w:cs="Times New Roman"/>
      <w:szCs w:val="20"/>
    </w:rPr>
  </w:style>
  <w:style w:type="character" w:customStyle="1" w:styleId="Heading6Char">
    <w:name w:val="Heading 6 Char"/>
    <w:basedOn w:val="DefaultParagraphFont"/>
    <w:link w:val="Heading6"/>
    <w:rsid w:val="00DE31E1"/>
    <w:rPr>
      <w:rFonts w:ascii="Arial" w:eastAsia="Times New Roman" w:hAnsi="Arial" w:cs="Times New Roman"/>
      <w:i/>
      <w:szCs w:val="20"/>
    </w:rPr>
  </w:style>
  <w:style w:type="character" w:customStyle="1" w:styleId="Heading7Char">
    <w:name w:val="Heading 7 Char"/>
    <w:basedOn w:val="DefaultParagraphFont"/>
    <w:link w:val="Heading7"/>
    <w:rsid w:val="00DE31E1"/>
    <w:rPr>
      <w:rFonts w:ascii="Arial" w:eastAsia="Times New Roman" w:hAnsi="Arial" w:cs="Times New Roman"/>
      <w:sz w:val="20"/>
      <w:szCs w:val="20"/>
    </w:rPr>
  </w:style>
  <w:style w:type="character" w:customStyle="1" w:styleId="Heading8Char">
    <w:name w:val="Heading 8 Char"/>
    <w:basedOn w:val="DefaultParagraphFont"/>
    <w:link w:val="Heading8"/>
    <w:rsid w:val="00DE31E1"/>
    <w:rPr>
      <w:rFonts w:ascii="Arial" w:eastAsia="Times New Roman" w:hAnsi="Arial" w:cs="Times New Roman"/>
      <w:i/>
      <w:sz w:val="20"/>
      <w:szCs w:val="20"/>
    </w:rPr>
  </w:style>
  <w:style w:type="character" w:customStyle="1" w:styleId="Heading9Char">
    <w:name w:val="Heading 9 Char"/>
    <w:basedOn w:val="DefaultParagraphFont"/>
    <w:link w:val="Heading9"/>
    <w:rsid w:val="00DE31E1"/>
    <w:rPr>
      <w:rFonts w:ascii="Arial" w:eastAsia="Times New Roman" w:hAnsi="Arial" w:cs="Times New Roman"/>
      <w:i/>
      <w:sz w:val="18"/>
      <w:szCs w:val="20"/>
    </w:rPr>
  </w:style>
  <w:style w:type="paragraph" w:styleId="Caption">
    <w:name w:val="caption"/>
    <w:basedOn w:val="Normal"/>
    <w:next w:val="Normal"/>
    <w:qFormat/>
    <w:rsid w:val="00DE31E1"/>
    <w:pPr>
      <w:spacing w:after="0" w:line="240" w:lineRule="auto"/>
      <w:jc w:val="center"/>
    </w:pPr>
    <w:rPr>
      <w:rFonts w:ascii="Times New Roman" w:eastAsia="Times New Roman" w:hAnsi="Times New Roman" w:cs="Times New Roman"/>
      <w:b/>
      <w:sz w:val="28"/>
      <w:szCs w:val="20"/>
    </w:rPr>
  </w:style>
  <w:style w:type="paragraph" w:styleId="NormalWeb">
    <w:name w:val="Normal (Web)"/>
    <w:basedOn w:val="Normal"/>
    <w:uiPriority w:val="99"/>
    <w:rsid w:val="00882CE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03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F2EB4"/>
    <w:rPr>
      <w:color w:val="808080"/>
    </w:rPr>
  </w:style>
  <w:style w:type="paragraph" w:styleId="BodyText">
    <w:name w:val="Body Text"/>
    <w:basedOn w:val="Normal"/>
    <w:link w:val="BodyTextChar"/>
    <w:rsid w:val="00C7404C"/>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C7404C"/>
    <w:rPr>
      <w:rFonts w:ascii="Arial" w:eastAsia="Times New Roman" w:hAnsi="Arial" w:cs="Arial"/>
      <w:szCs w:val="24"/>
    </w:rPr>
  </w:style>
  <w:style w:type="character" w:styleId="Strong">
    <w:name w:val="Strong"/>
    <w:basedOn w:val="DefaultParagraphFont"/>
    <w:uiPriority w:val="22"/>
    <w:qFormat/>
    <w:rsid w:val="00C7404C"/>
    <w:rPr>
      <w:rFonts w:cs="Times New Roman"/>
      <w:b/>
      <w:bCs/>
    </w:rPr>
  </w:style>
  <w:style w:type="paragraph" w:styleId="BodyTextIndent2">
    <w:name w:val="Body Text Indent 2"/>
    <w:basedOn w:val="Normal"/>
    <w:link w:val="BodyTextIndent2Char"/>
    <w:rsid w:val="00C7404C"/>
    <w:pPr>
      <w:spacing w:after="0" w:line="240" w:lineRule="auto"/>
      <w:ind w:left="720" w:hanging="360"/>
    </w:pPr>
    <w:rPr>
      <w:rFonts w:ascii="Arial" w:eastAsia="Times New Roman" w:hAnsi="Arial" w:cs="Arial"/>
      <w:szCs w:val="24"/>
    </w:rPr>
  </w:style>
  <w:style w:type="character" w:customStyle="1" w:styleId="BodyTextIndent2Char">
    <w:name w:val="Body Text Indent 2 Char"/>
    <w:basedOn w:val="DefaultParagraphFont"/>
    <w:link w:val="BodyTextIndent2"/>
    <w:rsid w:val="00C7404C"/>
    <w:rPr>
      <w:rFonts w:ascii="Arial" w:eastAsia="Times New Roman" w:hAnsi="Arial" w:cs="Arial"/>
      <w:szCs w:val="24"/>
    </w:rPr>
  </w:style>
  <w:style w:type="paragraph" w:styleId="PlainText">
    <w:name w:val="Plain Text"/>
    <w:basedOn w:val="Normal"/>
    <w:link w:val="PlainTextChar"/>
    <w:uiPriority w:val="99"/>
    <w:unhideWhenUsed/>
    <w:rsid w:val="00D409C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409CC"/>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8749A3"/>
    <w:rPr>
      <w:color w:val="800080" w:themeColor="followedHyperlink"/>
      <w:u w:val="single"/>
    </w:rPr>
  </w:style>
  <w:style w:type="character" w:styleId="BookTitle">
    <w:name w:val="Book Title"/>
    <w:basedOn w:val="DefaultParagraphFont"/>
    <w:uiPriority w:val="33"/>
    <w:qFormat/>
    <w:rsid w:val="008749A3"/>
    <w:rPr>
      <w:b/>
      <w:bCs/>
      <w:smallCaps/>
      <w:spacing w:val="5"/>
    </w:rPr>
  </w:style>
  <w:style w:type="paragraph" w:styleId="Title">
    <w:name w:val="Title"/>
    <w:basedOn w:val="Normal"/>
    <w:next w:val="Normal"/>
    <w:link w:val="TitleChar"/>
    <w:uiPriority w:val="10"/>
    <w:qFormat/>
    <w:rsid w:val="00874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49A3"/>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8749A3"/>
    <w:rPr>
      <w:rFonts w:asciiTheme="majorHAnsi" w:eastAsiaTheme="majorEastAsia" w:hAnsiTheme="majorHAnsi" w:cstheme="majorBidi"/>
      <w:i/>
      <w:iCs/>
      <w:color w:val="244061" w:themeColor="accent1" w:themeShade="80"/>
      <w:spacing w:val="15"/>
      <w:sz w:val="24"/>
      <w:szCs w:val="24"/>
    </w:rPr>
  </w:style>
  <w:style w:type="character" w:styleId="IntenseEmphasis">
    <w:name w:val="Intense Emphasis"/>
    <w:basedOn w:val="DefaultParagraphFont"/>
    <w:uiPriority w:val="21"/>
    <w:qFormat/>
    <w:rsid w:val="008749A3"/>
    <w:rPr>
      <w:b/>
      <w:bCs/>
      <w:i/>
      <w:iCs/>
      <w:color w:val="4F81BD" w:themeColor="accent1"/>
    </w:rPr>
  </w:style>
  <w:style w:type="paragraph" w:styleId="IntenseQuote">
    <w:name w:val="Intense Quote"/>
    <w:basedOn w:val="Normal"/>
    <w:next w:val="Normal"/>
    <w:link w:val="IntenseQuoteChar"/>
    <w:uiPriority w:val="30"/>
    <w:qFormat/>
    <w:rsid w:val="008749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49A3"/>
    <w:rPr>
      <w:b/>
      <w:bCs/>
      <w:i/>
      <w:iCs/>
      <w:color w:val="4F81BD" w:themeColor="accent1"/>
    </w:rPr>
  </w:style>
  <w:style w:type="paragraph" w:customStyle="1" w:styleId="OnemliBilgi">
    <w:name w:val="Onemli Bilgi"/>
    <w:basedOn w:val="IntenseQuote"/>
    <w:link w:val="OnemliBilgiChar"/>
    <w:autoRedefine/>
    <w:qFormat/>
    <w:rsid w:val="008749A3"/>
    <w:pPr>
      <w:ind w:left="0"/>
    </w:pPr>
    <w:rPr>
      <w:b w:val="0"/>
      <w:color w:val="244061" w:themeColor="accent1" w:themeShade="80"/>
    </w:rPr>
  </w:style>
  <w:style w:type="character" w:customStyle="1" w:styleId="OnemliBilgiChar">
    <w:name w:val="Onemli Bilgi Char"/>
    <w:basedOn w:val="IntenseQuoteChar"/>
    <w:link w:val="OnemliBilgi"/>
    <w:rsid w:val="008749A3"/>
    <w:rPr>
      <w:b w:val="0"/>
      <w:bCs/>
      <w:i/>
      <w:iCs/>
      <w:color w:val="244061" w:themeColor="accent1" w:themeShade="80"/>
    </w:rPr>
  </w:style>
  <w:style w:type="table" w:customStyle="1" w:styleId="LightGrid-Accent11">
    <w:name w:val="Light Grid - Accent 11"/>
    <w:basedOn w:val="TableNormal"/>
    <w:uiPriority w:val="62"/>
    <w:rsid w:val="00F565CF"/>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CD5B0D"/>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E21CE6"/>
    <w:rPr>
      <w:sz w:val="16"/>
      <w:szCs w:val="16"/>
    </w:rPr>
  </w:style>
  <w:style w:type="paragraph" w:styleId="CommentText">
    <w:name w:val="annotation text"/>
    <w:basedOn w:val="Normal"/>
    <w:link w:val="CommentTextChar"/>
    <w:uiPriority w:val="99"/>
    <w:semiHidden/>
    <w:unhideWhenUsed/>
    <w:rsid w:val="00E21CE6"/>
    <w:pPr>
      <w:spacing w:line="240" w:lineRule="auto"/>
    </w:pPr>
    <w:rPr>
      <w:sz w:val="20"/>
      <w:szCs w:val="20"/>
    </w:rPr>
  </w:style>
  <w:style w:type="character" w:customStyle="1" w:styleId="CommentTextChar">
    <w:name w:val="Comment Text Char"/>
    <w:basedOn w:val="DefaultParagraphFont"/>
    <w:link w:val="CommentText"/>
    <w:uiPriority w:val="99"/>
    <w:semiHidden/>
    <w:rsid w:val="00E21CE6"/>
    <w:rPr>
      <w:sz w:val="20"/>
      <w:szCs w:val="20"/>
    </w:rPr>
  </w:style>
  <w:style w:type="paragraph" w:styleId="CommentSubject">
    <w:name w:val="annotation subject"/>
    <w:basedOn w:val="CommentText"/>
    <w:next w:val="CommentText"/>
    <w:link w:val="CommentSubjectChar"/>
    <w:uiPriority w:val="99"/>
    <w:semiHidden/>
    <w:unhideWhenUsed/>
    <w:rsid w:val="00E21CE6"/>
    <w:rPr>
      <w:b/>
      <w:bCs/>
    </w:rPr>
  </w:style>
  <w:style w:type="character" w:customStyle="1" w:styleId="CommentSubjectChar">
    <w:name w:val="Comment Subject Char"/>
    <w:basedOn w:val="CommentTextChar"/>
    <w:link w:val="CommentSubject"/>
    <w:uiPriority w:val="99"/>
    <w:semiHidden/>
    <w:rsid w:val="00E21CE6"/>
    <w:rPr>
      <w:b/>
      <w:bCs/>
      <w:sz w:val="20"/>
      <w:szCs w:val="20"/>
    </w:rPr>
  </w:style>
  <w:style w:type="character" w:customStyle="1" w:styleId="apple-tab-span">
    <w:name w:val="apple-tab-span"/>
    <w:basedOn w:val="DefaultParagraphFont"/>
    <w:rsid w:val="00EE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2650">
      <w:bodyDiv w:val="1"/>
      <w:marLeft w:val="0"/>
      <w:marRight w:val="0"/>
      <w:marTop w:val="0"/>
      <w:marBottom w:val="0"/>
      <w:divBdr>
        <w:top w:val="none" w:sz="0" w:space="0" w:color="auto"/>
        <w:left w:val="none" w:sz="0" w:space="0" w:color="auto"/>
        <w:bottom w:val="none" w:sz="0" w:space="0" w:color="auto"/>
        <w:right w:val="none" w:sz="0" w:space="0" w:color="auto"/>
      </w:divBdr>
    </w:div>
    <w:div w:id="256601659">
      <w:bodyDiv w:val="1"/>
      <w:marLeft w:val="0"/>
      <w:marRight w:val="0"/>
      <w:marTop w:val="0"/>
      <w:marBottom w:val="0"/>
      <w:divBdr>
        <w:top w:val="none" w:sz="0" w:space="0" w:color="auto"/>
        <w:left w:val="none" w:sz="0" w:space="0" w:color="auto"/>
        <w:bottom w:val="none" w:sz="0" w:space="0" w:color="auto"/>
        <w:right w:val="none" w:sz="0" w:space="0" w:color="auto"/>
      </w:divBdr>
      <w:divsChild>
        <w:div w:id="2142109844">
          <w:marLeft w:val="0"/>
          <w:marRight w:val="0"/>
          <w:marTop w:val="0"/>
          <w:marBottom w:val="0"/>
          <w:divBdr>
            <w:top w:val="none" w:sz="0" w:space="0" w:color="auto"/>
            <w:left w:val="none" w:sz="0" w:space="0" w:color="auto"/>
            <w:bottom w:val="none" w:sz="0" w:space="0" w:color="auto"/>
            <w:right w:val="none" w:sz="0" w:space="0" w:color="auto"/>
          </w:divBdr>
        </w:div>
        <w:div w:id="982150987">
          <w:marLeft w:val="0"/>
          <w:marRight w:val="0"/>
          <w:marTop w:val="0"/>
          <w:marBottom w:val="0"/>
          <w:divBdr>
            <w:top w:val="none" w:sz="0" w:space="0" w:color="auto"/>
            <w:left w:val="none" w:sz="0" w:space="0" w:color="auto"/>
            <w:bottom w:val="none" w:sz="0" w:space="0" w:color="auto"/>
            <w:right w:val="none" w:sz="0" w:space="0" w:color="auto"/>
          </w:divBdr>
        </w:div>
        <w:div w:id="707723622">
          <w:marLeft w:val="0"/>
          <w:marRight w:val="0"/>
          <w:marTop w:val="0"/>
          <w:marBottom w:val="0"/>
          <w:divBdr>
            <w:top w:val="none" w:sz="0" w:space="0" w:color="auto"/>
            <w:left w:val="none" w:sz="0" w:space="0" w:color="auto"/>
            <w:bottom w:val="none" w:sz="0" w:space="0" w:color="auto"/>
            <w:right w:val="none" w:sz="0" w:space="0" w:color="auto"/>
          </w:divBdr>
        </w:div>
        <w:div w:id="937450180">
          <w:marLeft w:val="0"/>
          <w:marRight w:val="0"/>
          <w:marTop w:val="0"/>
          <w:marBottom w:val="0"/>
          <w:divBdr>
            <w:top w:val="none" w:sz="0" w:space="0" w:color="auto"/>
            <w:left w:val="none" w:sz="0" w:space="0" w:color="auto"/>
            <w:bottom w:val="none" w:sz="0" w:space="0" w:color="auto"/>
            <w:right w:val="none" w:sz="0" w:space="0" w:color="auto"/>
          </w:divBdr>
        </w:div>
        <w:div w:id="713433312">
          <w:marLeft w:val="0"/>
          <w:marRight w:val="0"/>
          <w:marTop w:val="0"/>
          <w:marBottom w:val="0"/>
          <w:divBdr>
            <w:top w:val="none" w:sz="0" w:space="0" w:color="auto"/>
            <w:left w:val="none" w:sz="0" w:space="0" w:color="auto"/>
            <w:bottom w:val="none" w:sz="0" w:space="0" w:color="auto"/>
            <w:right w:val="none" w:sz="0" w:space="0" w:color="auto"/>
          </w:divBdr>
        </w:div>
        <w:div w:id="1190607529">
          <w:marLeft w:val="0"/>
          <w:marRight w:val="0"/>
          <w:marTop w:val="0"/>
          <w:marBottom w:val="0"/>
          <w:divBdr>
            <w:top w:val="none" w:sz="0" w:space="0" w:color="auto"/>
            <w:left w:val="none" w:sz="0" w:space="0" w:color="auto"/>
            <w:bottom w:val="none" w:sz="0" w:space="0" w:color="auto"/>
            <w:right w:val="none" w:sz="0" w:space="0" w:color="auto"/>
          </w:divBdr>
        </w:div>
        <w:div w:id="1133384">
          <w:marLeft w:val="0"/>
          <w:marRight w:val="0"/>
          <w:marTop w:val="0"/>
          <w:marBottom w:val="0"/>
          <w:divBdr>
            <w:top w:val="none" w:sz="0" w:space="0" w:color="auto"/>
            <w:left w:val="none" w:sz="0" w:space="0" w:color="auto"/>
            <w:bottom w:val="none" w:sz="0" w:space="0" w:color="auto"/>
            <w:right w:val="none" w:sz="0" w:space="0" w:color="auto"/>
          </w:divBdr>
        </w:div>
        <w:div w:id="390084813">
          <w:marLeft w:val="0"/>
          <w:marRight w:val="0"/>
          <w:marTop w:val="0"/>
          <w:marBottom w:val="0"/>
          <w:divBdr>
            <w:top w:val="none" w:sz="0" w:space="0" w:color="auto"/>
            <w:left w:val="none" w:sz="0" w:space="0" w:color="auto"/>
            <w:bottom w:val="none" w:sz="0" w:space="0" w:color="auto"/>
            <w:right w:val="none" w:sz="0" w:space="0" w:color="auto"/>
          </w:divBdr>
        </w:div>
        <w:div w:id="624315751">
          <w:marLeft w:val="0"/>
          <w:marRight w:val="0"/>
          <w:marTop w:val="0"/>
          <w:marBottom w:val="0"/>
          <w:divBdr>
            <w:top w:val="none" w:sz="0" w:space="0" w:color="auto"/>
            <w:left w:val="none" w:sz="0" w:space="0" w:color="auto"/>
            <w:bottom w:val="none" w:sz="0" w:space="0" w:color="auto"/>
            <w:right w:val="none" w:sz="0" w:space="0" w:color="auto"/>
          </w:divBdr>
        </w:div>
        <w:div w:id="21907231">
          <w:marLeft w:val="0"/>
          <w:marRight w:val="0"/>
          <w:marTop w:val="0"/>
          <w:marBottom w:val="0"/>
          <w:divBdr>
            <w:top w:val="none" w:sz="0" w:space="0" w:color="auto"/>
            <w:left w:val="none" w:sz="0" w:space="0" w:color="auto"/>
            <w:bottom w:val="none" w:sz="0" w:space="0" w:color="auto"/>
            <w:right w:val="none" w:sz="0" w:space="0" w:color="auto"/>
          </w:divBdr>
        </w:div>
        <w:div w:id="306591573">
          <w:marLeft w:val="0"/>
          <w:marRight w:val="0"/>
          <w:marTop w:val="0"/>
          <w:marBottom w:val="0"/>
          <w:divBdr>
            <w:top w:val="none" w:sz="0" w:space="0" w:color="auto"/>
            <w:left w:val="none" w:sz="0" w:space="0" w:color="auto"/>
            <w:bottom w:val="none" w:sz="0" w:space="0" w:color="auto"/>
            <w:right w:val="none" w:sz="0" w:space="0" w:color="auto"/>
          </w:divBdr>
        </w:div>
        <w:div w:id="1066879454">
          <w:marLeft w:val="0"/>
          <w:marRight w:val="0"/>
          <w:marTop w:val="0"/>
          <w:marBottom w:val="0"/>
          <w:divBdr>
            <w:top w:val="none" w:sz="0" w:space="0" w:color="auto"/>
            <w:left w:val="none" w:sz="0" w:space="0" w:color="auto"/>
            <w:bottom w:val="none" w:sz="0" w:space="0" w:color="auto"/>
            <w:right w:val="none" w:sz="0" w:space="0" w:color="auto"/>
          </w:divBdr>
        </w:div>
        <w:div w:id="1501388810">
          <w:marLeft w:val="0"/>
          <w:marRight w:val="0"/>
          <w:marTop w:val="0"/>
          <w:marBottom w:val="0"/>
          <w:divBdr>
            <w:top w:val="none" w:sz="0" w:space="0" w:color="auto"/>
            <w:left w:val="none" w:sz="0" w:space="0" w:color="auto"/>
            <w:bottom w:val="none" w:sz="0" w:space="0" w:color="auto"/>
            <w:right w:val="none" w:sz="0" w:space="0" w:color="auto"/>
          </w:divBdr>
        </w:div>
        <w:div w:id="58065002">
          <w:marLeft w:val="0"/>
          <w:marRight w:val="0"/>
          <w:marTop w:val="0"/>
          <w:marBottom w:val="0"/>
          <w:divBdr>
            <w:top w:val="none" w:sz="0" w:space="0" w:color="auto"/>
            <w:left w:val="none" w:sz="0" w:space="0" w:color="auto"/>
            <w:bottom w:val="none" w:sz="0" w:space="0" w:color="auto"/>
            <w:right w:val="none" w:sz="0" w:space="0" w:color="auto"/>
          </w:divBdr>
        </w:div>
        <w:div w:id="1469007221">
          <w:marLeft w:val="0"/>
          <w:marRight w:val="0"/>
          <w:marTop w:val="0"/>
          <w:marBottom w:val="0"/>
          <w:divBdr>
            <w:top w:val="none" w:sz="0" w:space="0" w:color="auto"/>
            <w:left w:val="none" w:sz="0" w:space="0" w:color="auto"/>
            <w:bottom w:val="none" w:sz="0" w:space="0" w:color="auto"/>
            <w:right w:val="none" w:sz="0" w:space="0" w:color="auto"/>
          </w:divBdr>
        </w:div>
        <w:div w:id="1180967135">
          <w:marLeft w:val="0"/>
          <w:marRight w:val="0"/>
          <w:marTop w:val="0"/>
          <w:marBottom w:val="0"/>
          <w:divBdr>
            <w:top w:val="none" w:sz="0" w:space="0" w:color="auto"/>
            <w:left w:val="none" w:sz="0" w:space="0" w:color="auto"/>
            <w:bottom w:val="none" w:sz="0" w:space="0" w:color="auto"/>
            <w:right w:val="none" w:sz="0" w:space="0" w:color="auto"/>
          </w:divBdr>
        </w:div>
        <w:div w:id="707025428">
          <w:marLeft w:val="0"/>
          <w:marRight w:val="0"/>
          <w:marTop w:val="0"/>
          <w:marBottom w:val="0"/>
          <w:divBdr>
            <w:top w:val="none" w:sz="0" w:space="0" w:color="auto"/>
            <w:left w:val="none" w:sz="0" w:space="0" w:color="auto"/>
            <w:bottom w:val="none" w:sz="0" w:space="0" w:color="auto"/>
            <w:right w:val="none" w:sz="0" w:space="0" w:color="auto"/>
          </w:divBdr>
        </w:div>
        <w:div w:id="1261837133">
          <w:marLeft w:val="720"/>
          <w:marRight w:val="0"/>
          <w:marTop w:val="0"/>
          <w:marBottom w:val="0"/>
          <w:divBdr>
            <w:top w:val="none" w:sz="0" w:space="0" w:color="auto"/>
            <w:left w:val="none" w:sz="0" w:space="0" w:color="auto"/>
            <w:bottom w:val="none" w:sz="0" w:space="0" w:color="auto"/>
            <w:right w:val="none" w:sz="0" w:space="0" w:color="auto"/>
          </w:divBdr>
        </w:div>
        <w:div w:id="1509831962">
          <w:marLeft w:val="720"/>
          <w:marRight w:val="0"/>
          <w:marTop w:val="0"/>
          <w:marBottom w:val="0"/>
          <w:divBdr>
            <w:top w:val="none" w:sz="0" w:space="0" w:color="auto"/>
            <w:left w:val="none" w:sz="0" w:space="0" w:color="auto"/>
            <w:bottom w:val="none" w:sz="0" w:space="0" w:color="auto"/>
            <w:right w:val="none" w:sz="0" w:space="0" w:color="auto"/>
          </w:divBdr>
        </w:div>
        <w:div w:id="1192844363">
          <w:marLeft w:val="720"/>
          <w:marRight w:val="0"/>
          <w:marTop w:val="0"/>
          <w:marBottom w:val="0"/>
          <w:divBdr>
            <w:top w:val="none" w:sz="0" w:space="0" w:color="auto"/>
            <w:left w:val="none" w:sz="0" w:space="0" w:color="auto"/>
            <w:bottom w:val="none" w:sz="0" w:space="0" w:color="auto"/>
            <w:right w:val="none" w:sz="0" w:space="0" w:color="auto"/>
          </w:divBdr>
        </w:div>
        <w:div w:id="1582642196">
          <w:marLeft w:val="720"/>
          <w:marRight w:val="0"/>
          <w:marTop w:val="0"/>
          <w:marBottom w:val="0"/>
          <w:divBdr>
            <w:top w:val="none" w:sz="0" w:space="0" w:color="auto"/>
            <w:left w:val="none" w:sz="0" w:space="0" w:color="auto"/>
            <w:bottom w:val="none" w:sz="0" w:space="0" w:color="auto"/>
            <w:right w:val="none" w:sz="0" w:space="0" w:color="auto"/>
          </w:divBdr>
        </w:div>
        <w:div w:id="1985892686">
          <w:marLeft w:val="0"/>
          <w:marRight w:val="0"/>
          <w:marTop w:val="0"/>
          <w:marBottom w:val="0"/>
          <w:divBdr>
            <w:top w:val="none" w:sz="0" w:space="0" w:color="auto"/>
            <w:left w:val="none" w:sz="0" w:space="0" w:color="auto"/>
            <w:bottom w:val="none" w:sz="0" w:space="0" w:color="auto"/>
            <w:right w:val="none" w:sz="0" w:space="0" w:color="auto"/>
          </w:divBdr>
        </w:div>
        <w:div w:id="1051684902">
          <w:marLeft w:val="0"/>
          <w:marRight w:val="0"/>
          <w:marTop w:val="0"/>
          <w:marBottom w:val="0"/>
          <w:divBdr>
            <w:top w:val="none" w:sz="0" w:space="0" w:color="auto"/>
            <w:left w:val="none" w:sz="0" w:space="0" w:color="auto"/>
            <w:bottom w:val="none" w:sz="0" w:space="0" w:color="auto"/>
            <w:right w:val="none" w:sz="0" w:space="0" w:color="auto"/>
          </w:divBdr>
        </w:div>
        <w:div w:id="5179572">
          <w:marLeft w:val="0"/>
          <w:marRight w:val="0"/>
          <w:marTop w:val="0"/>
          <w:marBottom w:val="0"/>
          <w:divBdr>
            <w:top w:val="none" w:sz="0" w:space="0" w:color="auto"/>
            <w:left w:val="none" w:sz="0" w:space="0" w:color="auto"/>
            <w:bottom w:val="none" w:sz="0" w:space="0" w:color="auto"/>
            <w:right w:val="none" w:sz="0" w:space="0" w:color="auto"/>
          </w:divBdr>
        </w:div>
        <w:div w:id="1637679235">
          <w:marLeft w:val="0"/>
          <w:marRight w:val="0"/>
          <w:marTop w:val="0"/>
          <w:marBottom w:val="0"/>
          <w:divBdr>
            <w:top w:val="none" w:sz="0" w:space="0" w:color="auto"/>
            <w:left w:val="none" w:sz="0" w:space="0" w:color="auto"/>
            <w:bottom w:val="none" w:sz="0" w:space="0" w:color="auto"/>
            <w:right w:val="none" w:sz="0" w:space="0" w:color="auto"/>
          </w:divBdr>
        </w:div>
        <w:div w:id="969746124">
          <w:marLeft w:val="0"/>
          <w:marRight w:val="0"/>
          <w:marTop w:val="0"/>
          <w:marBottom w:val="0"/>
          <w:divBdr>
            <w:top w:val="none" w:sz="0" w:space="0" w:color="auto"/>
            <w:left w:val="none" w:sz="0" w:space="0" w:color="auto"/>
            <w:bottom w:val="none" w:sz="0" w:space="0" w:color="auto"/>
            <w:right w:val="none" w:sz="0" w:space="0" w:color="auto"/>
          </w:divBdr>
        </w:div>
        <w:div w:id="2017610197">
          <w:marLeft w:val="0"/>
          <w:marRight w:val="0"/>
          <w:marTop w:val="0"/>
          <w:marBottom w:val="0"/>
          <w:divBdr>
            <w:top w:val="none" w:sz="0" w:space="0" w:color="auto"/>
            <w:left w:val="none" w:sz="0" w:space="0" w:color="auto"/>
            <w:bottom w:val="none" w:sz="0" w:space="0" w:color="auto"/>
            <w:right w:val="none" w:sz="0" w:space="0" w:color="auto"/>
          </w:divBdr>
        </w:div>
        <w:div w:id="347222807">
          <w:marLeft w:val="0"/>
          <w:marRight w:val="0"/>
          <w:marTop w:val="0"/>
          <w:marBottom w:val="0"/>
          <w:divBdr>
            <w:top w:val="none" w:sz="0" w:space="0" w:color="auto"/>
            <w:left w:val="none" w:sz="0" w:space="0" w:color="auto"/>
            <w:bottom w:val="none" w:sz="0" w:space="0" w:color="auto"/>
            <w:right w:val="none" w:sz="0" w:space="0" w:color="auto"/>
          </w:divBdr>
        </w:div>
        <w:div w:id="201094143">
          <w:marLeft w:val="0"/>
          <w:marRight w:val="0"/>
          <w:marTop w:val="0"/>
          <w:marBottom w:val="0"/>
          <w:divBdr>
            <w:top w:val="none" w:sz="0" w:space="0" w:color="auto"/>
            <w:left w:val="none" w:sz="0" w:space="0" w:color="auto"/>
            <w:bottom w:val="none" w:sz="0" w:space="0" w:color="auto"/>
            <w:right w:val="none" w:sz="0" w:space="0" w:color="auto"/>
          </w:divBdr>
        </w:div>
        <w:div w:id="800926377">
          <w:marLeft w:val="0"/>
          <w:marRight w:val="0"/>
          <w:marTop w:val="0"/>
          <w:marBottom w:val="0"/>
          <w:divBdr>
            <w:top w:val="none" w:sz="0" w:space="0" w:color="auto"/>
            <w:left w:val="none" w:sz="0" w:space="0" w:color="auto"/>
            <w:bottom w:val="none" w:sz="0" w:space="0" w:color="auto"/>
            <w:right w:val="none" w:sz="0" w:space="0" w:color="auto"/>
          </w:divBdr>
        </w:div>
        <w:div w:id="894778515">
          <w:marLeft w:val="0"/>
          <w:marRight w:val="0"/>
          <w:marTop w:val="0"/>
          <w:marBottom w:val="0"/>
          <w:divBdr>
            <w:top w:val="none" w:sz="0" w:space="0" w:color="auto"/>
            <w:left w:val="none" w:sz="0" w:space="0" w:color="auto"/>
            <w:bottom w:val="none" w:sz="0" w:space="0" w:color="auto"/>
            <w:right w:val="none" w:sz="0" w:space="0" w:color="auto"/>
          </w:divBdr>
        </w:div>
        <w:div w:id="2119451144">
          <w:marLeft w:val="0"/>
          <w:marRight w:val="0"/>
          <w:marTop w:val="0"/>
          <w:marBottom w:val="0"/>
          <w:divBdr>
            <w:top w:val="none" w:sz="0" w:space="0" w:color="auto"/>
            <w:left w:val="none" w:sz="0" w:space="0" w:color="auto"/>
            <w:bottom w:val="none" w:sz="0" w:space="0" w:color="auto"/>
            <w:right w:val="none" w:sz="0" w:space="0" w:color="auto"/>
          </w:divBdr>
        </w:div>
        <w:div w:id="1331177842">
          <w:marLeft w:val="720"/>
          <w:marRight w:val="0"/>
          <w:marTop w:val="0"/>
          <w:marBottom w:val="0"/>
          <w:divBdr>
            <w:top w:val="none" w:sz="0" w:space="0" w:color="auto"/>
            <w:left w:val="none" w:sz="0" w:space="0" w:color="auto"/>
            <w:bottom w:val="none" w:sz="0" w:space="0" w:color="auto"/>
            <w:right w:val="none" w:sz="0" w:space="0" w:color="auto"/>
          </w:divBdr>
        </w:div>
        <w:div w:id="232665896">
          <w:marLeft w:val="720"/>
          <w:marRight w:val="0"/>
          <w:marTop w:val="0"/>
          <w:marBottom w:val="0"/>
          <w:divBdr>
            <w:top w:val="none" w:sz="0" w:space="0" w:color="auto"/>
            <w:left w:val="none" w:sz="0" w:space="0" w:color="auto"/>
            <w:bottom w:val="none" w:sz="0" w:space="0" w:color="auto"/>
            <w:right w:val="none" w:sz="0" w:space="0" w:color="auto"/>
          </w:divBdr>
        </w:div>
        <w:div w:id="696850403">
          <w:marLeft w:val="0"/>
          <w:marRight w:val="0"/>
          <w:marTop w:val="0"/>
          <w:marBottom w:val="0"/>
          <w:divBdr>
            <w:top w:val="none" w:sz="0" w:space="0" w:color="auto"/>
            <w:left w:val="none" w:sz="0" w:space="0" w:color="auto"/>
            <w:bottom w:val="none" w:sz="0" w:space="0" w:color="auto"/>
            <w:right w:val="none" w:sz="0" w:space="0" w:color="auto"/>
          </w:divBdr>
        </w:div>
        <w:div w:id="1674919977">
          <w:marLeft w:val="0"/>
          <w:marRight w:val="0"/>
          <w:marTop w:val="0"/>
          <w:marBottom w:val="0"/>
          <w:divBdr>
            <w:top w:val="none" w:sz="0" w:space="0" w:color="auto"/>
            <w:left w:val="none" w:sz="0" w:space="0" w:color="auto"/>
            <w:bottom w:val="none" w:sz="0" w:space="0" w:color="auto"/>
            <w:right w:val="none" w:sz="0" w:space="0" w:color="auto"/>
          </w:divBdr>
        </w:div>
        <w:div w:id="1963345746">
          <w:marLeft w:val="0"/>
          <w:marRight w:val="0"/>
          <w:marTop w:val="0"/>
          <w:marBottom w:val="0"/>
          <w:divBdr>
            <w:top w:val="none" w:sz="0" w:space="0" w:color="auto"/>
            <w:left w:val="none" w:sz="0" w:space="0" w:color="auto"/>
            <w:bottom w:val="none" w:sz="0" w:space="0" w:color="auto"/>
            <w:right w:val="none" w:sz="0" w:space="0" w:color="auto"/>
          </w:divBdr>
        </w:div>
        <w:div w:id="1051881443">
          <w:marLeft w:val="0"/>
          <w:marRight w:val="0"/>
          <w:marTop w:val="0"/>
          <w:marBottom w:val="0"/>
          <w:divBdr>
            <w:top w:val="none" w:sz="0" w:space="0" w:color="auto"/>
            <w:left w:val="none" w:sz="0" w:space="0" w:color="auto"/>
            <w:bottom w:val="none" w:sz="0" w:space="0" w:color="auto"/>
            <w:right w:val="none" w:sz="0" w:space="0" w:color="auto"/>
          </w:divBdr>
        </w:div>
        <w:div w:id="169684801">
          <w:marLeft w:val="0"/>
          <w:marRight w:val="0"/>
          <w:marTop w:val="0"/>
          <w:marBottom w:val="0"/>
          <w:divBdr>
            <w:top w:val="none" w:sz="0" w:space="0" w:color="auto"/>
            <w:left w:val="none" w:sz="0" w:space="0" w:color="auto"/>
            <w:bottom w:val="none" w:sz="0" w:space="0" w:color="auto"/>
            <w:right w:val="none" w:sz="0" w:space="0" w:color="auto"/>
          </w:divBdr>
        </w:div>
        <w:div w:id="1787381576">
          <w:marLeft w:val="0"/>
          <w:marRight w:val="0"/>
          <w:marTop w:val="0"/>
          <w:marBottom w:val="0"/>
          <w:divBdr>
            <w:top w:val="none" w:sz="0" w:space="0" w:color="auto"/>
            <w:left w:val="none" w:sz="0" w:space="0" w:color="auto"/>
            <w:bottom w:val="none" w:sz="0" w:space="0" w:color="auto"/>
            <w:right w:val="none" w:sz="0" w:space="0" w:color="auto"/>
          </w:divBdr>
        </w:div>
        <w:div w:id="969672353">
          <w:marLeft w:val="0"/>
          <w:marRight w:val="0"/>
          <w:marTop w:val="0"/>
          <w:marBottom w:val="0"/>
          <w:divBdr>
            <w:top w:val="none" w:sz="0" w:space="0" w:color="auto"/>
            <w:left w:val="none" w:sz="0" w:space="0" w:color="auto"/>
            <w:bottom w:val="none" w:sz="0" w:space="0" w:color="auto"/>
            <w:right w:val="none" w:sz="0" w:space="0" w:color="auto"/>
          </w:divBdr>
        </w:div>
        <w:div w:id="1628123632">
          <w:marLeft w:val="0"/>
          <w:marRight w:val="0"/>
          <w:marTop w:val="0"/>
          <w:marBottom w:val="0"/>
          <w:divBdr>
            <w:top w:val="none" w:sz="0" w:space="0" w:color="auto"/>
            <w:left w:val="none" w:sz="0" w:space="0" w:color="auto"/>
            <w:bottom w:val="none" w:sz="0" w:space="0" w:color="auto"/>
            <w:right w:val="none" w:sz="0" w:space="0" w:color="auto"/>
          </w:divBdr>
        </w:div>
        <w:div w:id="1722050828">
          <w:marLeft w:val="0"/>
          <w:marRight w:val="0"/>
          <w:marTop w:val="0"/>
          <w:marBottom w:val="0"/>
          <w:divBdr>
            <w:top w:val="none" w:sz="0" w:space="0" w:color="auto"/>
            <w:left w:val="none" w:sz="0" w:space="0" w:color="auto"/>
            <w:bottom w:val="none" w:sz="0" w:space="0" w:color="auto"/>
            <w:right w:val="none" w:sz="0" w:space="0" w:color="auto"/>
          </w:divBdr>
        </w:div>
        <w:div w:id="516037866">
          <w:marLeft w:val="0"/>
          <w:marRight w:val="0"/>
          <w:marTop w:val="0"/>
          <w:marBottom w:val="0"/>
          <w:divBdr>
            <w:top w:val="none" w:sz="0" w:space="0" w:color="auto"/>
            <w:left w:val="none" w:sz="0" w:space="0" w:color="auto"/>
            <w:bottom w:val="none" w:sz="0" w:space="0" w:color="auto"/>
            <w:right w:val="none" w:sz="0" w:space="0" w:color="auto"/>
          </w:divBdr>
        </w:div>
        <w:div w:id="1197741080">
          <w:marLeft w:val="0"/>
          <w:marRight w:val="0"/>
          <w:marTop w:val="0"/>
          <w:marBottom w:val="120"/>
          <w:divBdr>
            <w:top w:val="none" w:sz="0" w:space="0" w:color="auto"/>
            <w:left w:val="none" w:sz="0" w:space="0" w:color="auto"/>
            <w:bottom w:val="none" w:sz="0" w:space="0" w:color="auto"/>
            <w:right w:val="none" w:sz="0" w:space="0" w:color="auto"/>
          </w:divBdr>
        </w:div>
        <w:div w:id="1573811281">
          <w:marLeft w:val="0"/>
          <w:marRight w:val="0"/>
          <w:marTop w:val="0"/>
          <w:marBottom w:val="120"/>
          <w:divBdr>
            <w:top w:val="none" w:sz="0" w:space="0" w:color="auto"/>
            <w:left w:val="none" w:sz="0" w:space="0" w:color="auto"/>
            <w:bottom w:val="none" w:sz="0" w:space="0" w:color="auto"/>
            <w:right w:val="none" w:sz="0" w:space="0" w:color="auto"/>
          </w:divBdr>
        </w:div>
        <w:div w:id="1623070814">
          <w:marLeft w:val="0"/>
          <w:marRight w:val="0"/>
          <w:marTop w:val="0"/>
          <w:marBottom w:val="120"/>
          <w:divBdr>
            <w:top w:val="none" w:sz="0" w:space="0" w:color="auto"/>
            <w:left w:val="none" w:sz="0" w:space="0" w:color="auto"/>
            <w:bottom w:val="none" w:sz="0" w:space="0" w:color="auto"/>
            <w:right w:val="none" w:sz="0" w:space="0" w:color="auto"/>
          </w:divBdr>
        </w:div>
        <w:div w:id="1731147458">
          <w:marLeft w:val="0"/>
          <w:marRight w:val="0"/>
          <w:marTop w:val="0"/>
          <w:marBottom w:val="120"/>
          <w:divBdr>
            <w:top w:val="none" w:sz="0" w:space="0" w:color="auto"/>
            <w:left w:val="none" w:sz="0" w:space="0" w:color="auto"/>
            <w:bottom w:val="none" w:sz="0" w:space="0" w:color="auto"/>
            <w:right w:val="none" w:sz="0" w:space="0" w:color="auto"/>
          </w:divBdr>
        </w:div>
        <w:div w:id="1047222395">
          <w:marLeft w:val="0"/>
          <w:marRight w:val="0"/>
          <w:marTop w:val="0"/>
          <w:marBottom w:val="120"/>
          <w:divBdr>
            <w:top w:val="none" w:sz="0" w:space="0" w:color="auto"/>
            <w:left w:val="none" w:sz="0" w:space="0" w:color="auto"/>
            <w:bottom w:val="none" w:sz="0" w:space="0" w:color="auto"/>
            <w:right w:val="none" w:sz="0" w:space="0" w:color="auto"/>
          </w:divBdr>
        </w:div>
        <w:div w:id="2069305154">
          <w:marLeft w:val="0"/>
          <w:marRight w:val="0"/>
          <w:marTop w:val="0"/>
          <w:marBottom w:val="120"/>
          <w:divBdr>
            <w:top w:val="none" w:sz="0" w:space="0" w:color="auto"/>
            <w:left w:val="none" w:sz="0" w:space="0" w:color="auto"/>
            <w:bottom w:val="none" w:sz="0" w:space="0" w:color="auto"/>
            <w:right w:val="none" w:sz="0" w:space="0" w:color="auto"/>
          </w:divBdr>
        </w:div>
        <w:div w:id="1285650871">
          <w:marLeft w:val="0"/>
          <w:marRight w:val="0"/>
          <w:marTop w:val="0"/>
          <w:marBottom w:val="0"/>
          <w:divBdr>
            <w:top w:val="none" w:sz="0" w:space="0" w:color="auto"/>
            <w:left w:val="none" w:sz="0" w:space="0" w:color="auto"/>
            <w:bottom w:val="none" w:sz="0" w:space="0" w:color="auto"/>
            <w:right w:val="none" w:sz="0" w:space="0" w:color="auto"/>
          </w:divBdr>
        </w:div>
      </w:divsChild>
    </w:div>
    <w:div w:id="573012246">
      <w:bodyDiv w:val="1"/>
      <w:marLeft w:val="0"/>
      <w:marRight w:val="0"/>
      <w:marTop w:val="0"/>
      <w:marBottom w:val="0"/>
      <w:divBdr>
        <w:top w:val="none" w:sz="0" w:space="0" w:color="auto"/>
        <w:left w:val="none" w:sz="0" w:space="0" w:color="auto"/>
        <w:bottom w:val="none" w:sz="0" w:space="0" w:color="auto"/>
        <w:right w:val="none" w:sz="0" w:space="0" w:color="auto"/>
      </w:divBdr>
    </w:div>
    <w:div w:id="687027584">
      <w:bodyDiv w:val="1"/>
      <w:marLeft w:val="0"/>
      <w:marRight w:val="0"/>
      <w:marTop w:val="0"/>
      <w:marBottom w:val="0"/>
      <w:divBdr>
        <w:top w:val="none" w:sz="0" w:space="0" w:color="auto"/>
        <w:left w:val="none" w:sz="0" w:space="0" w:color="auto"/>
        <w:bottom w:val="none" w:sz="0" w:space="0" w:color="auto"/>
        <w:right w:val="none" w:sz="0" w:space="0" w:color="auto"/>
      </w:divBdr>
    </w:div>
    <w:div w:id="815414521">
      <w:bodyDiv w:val="1"/>
      <w:marLeft w:val="0"/>
      <w:marRight w:val="0"/>
      <w:marTop w:val="0"/>
      <w:marBottom w:val="0"/>
      <w:divBdr>
        <w:top w:val="none" w:sz="0" w:space="0" w:color="auto"/>
        <w:left w:val="none" w:sz="0" w:space="0" w:color="auto"/>
        <w:bottom w:val="none" w:sz="0" w:space="0" w:color="auto"/>
        <w:right w:val="none" w:sz="0" w:space="0" w:color="auto"/>
      </w:divBdr>
    </w:div>
    <w:div w:id="1211456258">
      <w:bodyDiv w:val="1"/>
      <w:marLeft w:val="0"/>
      <w:marRight w:val="0"/>
      <w:marTop w:val="0"/>
      <w:marBottom w:val="0"/>
      <w:divBdr>
        <w:top w:val="none" w:sz="0" w:space="0" w:color="auto"/>
        <w:left w:val="none" w:sz="0" w:space="0" w:color="auto"/>
        <w:bottom w:val="none" w:sz="0" w:space="0" w:color="auto"/>
        <w:right w:val="none" w:sz="0" w:space="0" w:color="auto"/>
      </w:divBdr>
    </w:div>
    <w:div w:id="1330526996">
      <w:bodyDiv w:val="1"/>
      <w:marLeft w:val="0"/>
      <w:marRight w:val="0"/>
      <w:marTop w:val="0"/>
      <w:marBottom w:val="0"/>
      <w:divBdr>
        <w:top w:val="none" w:sz="0" w:space="0" w:color="auto"/>
        <w:left w:val="none" w:sz="0" w:space="0" w:color="auto"/>
        <w:bottom w:val="none" w:sz="0" w:space="0" w:color="auto"/>
        <w:right w:val="none" w:sz="0" w:space="0" w:color="auto"/>
      </w:divBdr>
    </w:div>
    <w:div w:id="1542937127">
      <w:bodyDiv w:val="1"/>
      <w:marLeft w:val="0"/>
      <w:marRight w:val="0"/>
      <w:marTop w:val="0"/>
      <w:marBottom w:val="0"/>
      <w:divBdr>
        <w:top w:val="none" w:sz="0" w:space="0" w:color="auto"/>
        <w:left w:val="none" w:sz="0" w:space="0" w:color="auto"/>
        <w:bottom w:val="none" w:sz="0" w:space="0" w:color="auto"/>
        <w:right w:val="none" w:sz="0" w:space="0" w:color="auto"/>
      </w:divBdr>
    </w:div>
    <w:div w:id="1763994353">
      <w:bodyDiv w:val="1"/>
      <w:marLeft w:val="0"/>
      <w:marRight w:val="0"/>
      <w:marTop w:val="0"/>
      <w:marBottom w:val="0"/>
      <w:divBdr>
        <w:top w:val="none" w:sz="0" w:space="0" w:color="auto"/>
        <w:left w:val="none" w:sz="0" w:space="0" w:color="auto"/>
        <w:bottom w:val="none" w:sz="0" w:space="0" w:color="auto"/>
        <w:right w:val="none" w:sz="0" w:space="0" w:color="auto"/>
      </w:divBdr>
    </w:div>
    <w:div w:id="2022581033">
      <w:bodyDiv w:val="1"/>
      <w:marLeft w:val="0"/>
      <w:marRight w:val="0"/>
      <w:marTop w:val="0"/>
      <w:marBottom w:val="0"/>
      <w:divBdr>
        <w:top w:val="none" w:sz="0" w:space="0" w:color="auto"/>
        <w:left w:val="none" w:sz="0" w:space="0" w:color="auto"/>
        <w:bottom w:val="none" w:sz="0" w:space="0" w:color="auto"/>
        <w:right w:val="none" w:sz="0" w:space="0" w:color="auto"/>
      </w:divBdr>
    </w:div>
    <w:div w:id="20855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goetzmann@yale.edu" TargetMode="External"/><Relationship Id="rId13" Type="http://schemas.openxmlformats.org/officeDocument/2006/relationships/hyperlink" Target="http://www.yale.edu/printer/bulletin/htmlfiles/som/rights-and-responsibilities-of-students.html" TargetMode="External"/><Relationship Id="rId18" Type="http://schemas.openxmlformats.org/officeDocument/2006/relationships/hyperlink" Target="http://vol11.cases.som.yale.edu/factor-investing-retirement" TargetMode="External"/><Relationship Id="rId26" Type="http://schemas.openxmlformats.org/officeDocument/2006/relationships/hyperlink" Target="https://en.wikipedia.org/wiki/Pensions_crisis" TargetMode="External"/><Relationship Id="rId3" Type="http://schemas.openxmlformats.org/officeDocument/2006/relationships/styles" Target="styles.xml"/><Relationship Id="rId21" Type="http://schemas.openxmlformats.org/officeDocument/2006/relationships/hyperlink" Target="https://cb.hbsp.harvard.edu/cbmp/pl/70528854/71959696/7400f21c7d5f11e79e9e2dbdcab6d1af" TargetMode="External"/><Relationship Id="rId7" Type="http://schemas.openxmlformats.org/officeDocument/2006/relationships/endnotes" Target="endnotes.xml"/><Relationship Id="rId12" Type="http://schemas.openxmlformats.org/officeDocument/2006/relationships/hyperlink" Target="http://portal.som.yale.edu/page/grading-policy" TargetMode="External"/><Relationship Id="rId17" Type="http://schemas.openxmlformats.org/officeDocument/2006/relationships/hyperlink" Target="http://investments.yale.edu/yio-staff-main-page/2015/11/15/lisa-m-howie" TargetMode="External"/><Relationship Id="rId25" Type="http://schemas.openxmlformats.org/officeDocument/2006/relationships/hyperlink" Target="http://hf-implode.com/" TargetMode="External"/><Relationship Id="rId2" Type="http://schemas.openxmlformats.org/officeDocument/2006/relationships/numbering" Target="numbering.xml"/><Relationship Id="rId16" Type="http://schemas.openxmlformats.org/officeDocument/2006/relationships/hyperlink" Target="http://vol11.cases.som.yale.edu/low-carbon-investing" TargetMode="External"/><Relationship Id="rId20" Type="http://schemas.openxmlformats.org/officeDocument/2006/relationships/hyperlink" Target="https://cb.hbsp.harvard.edu/cbmp/pl/70528854/71959694/157c1528bc4600012bebe0643c9af4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n.dokumaci@yale.edu" TargetMode="External"/><Relationship Id="rId24" Type="http://schemas.openxmlformats.org/officeDocument/2006/relationships/hyperlink" Target="https://cb.hbsp.harvard.edu/cbmp/pl/70528854/71959726/b1722d954b7588fc656fdda1f715beea" TargetMode="External"/><Relationship Id="rId5" Type="http://schemas.openxmlformats.org/officeDocument/2006/relationships/webSettings" Target="webSettings.xml"/><Relationship Id="rId15" Type="http://schemas.openxmlformats.org/officeDocument/2006/relationships/hyperlink" Target="http://vol09.cases.som.yale.edu/uaw-veba" TargetMode="External"/><Relationship Id="rId23" Type="http://schemas.openxmlformats.org/officeDocument/2006/relationships/hyperlink" Target="https://cb.hbsp.harvard.edu/cbmp/pl/70528854/71959724/2a086f1137f27c1662d0c2c671c47099" TargetMode="External"/><Relationship Id="rId28" Type="http://schemas.openxmlformats.org/officeDocument/2006/relationships/footer" Target="footer1.xml"/><Relationship Id="rId10" Type="http://schemas.openxmlformats.org/officeDocument/2006/relationships/hyperlink" Target="mailto:steven.fortney@yale.edu" TargetMode="External"/><Relationship Id="rId19" Type="http://schemas.openxmlformats.org/officeDocument/2006/relationships/hyperlink" Target="http://accountingfoundation.org/jsp/Foundation/Page/FAFSectionPage&amp;cid=11761647149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ctra.ferriello@yale.edu" TargetMode="External"/><Relationship Id="rId14" Type="http://schemas.openxmlformats.org/officeDocument/2006/relationships/hyperlink" Target="http://viking.som.yale.edu/outside%20activities%202015.pdf" TargetMode="External"/><Relationship Id="rId22" Type="http://schemas.openxmlformats.org/officeDocument/2006/relationships/hyperlink" Target="https://cb.hbsp.harvard.edu/cbmp/pl/70528854/71959732/a48eabdaf8959a614055352b6a035c48" TargetMode="External"/><Relationship Id="rId27" Type="http://schemas.openxmlformats.org/officeDocument/2006/relationships/hyperlink" Target="http://www.401khelpcenter.com/401k_court_legal.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6600-AE84-46CE-B527-22B8C4D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Carey Business School</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Ferriello, Electra</cp:lastModifiedBy>
  <cp:revision>6</cp:revision>
  <cp:lastPrinted>2012-08-02T17:11:00Z</cp:lastPrinted>
  <dcterms:created xsi:type="dcterms:W3CDTF">2017-11-13T15:43:00Z</dcterms:created>
  <dcterms:modified xsi:type="dcterms:W3CDTF">2017-11-13T16:27:00Z</dcterms:modified>
</cp:coreProperties>
</file>